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760331BC"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100</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CD2BAE">
        <w:rPr>
          <w:rFonts w:ascii="Arial" w:hAnsi="Arial" w:cs="Arial"/>
          <w:sz w:val="24"/>
          <w:szCs w:val="28"/>
          <w:lang w:val="en-CA"/>
        </w:rPr>
        <w:t>14178</w:t>
      </w:r>
    </w:p>
    <w:p w14:paraId="4F58942D" w14:textId="1CD4B92A"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926161">
        <w:rPr>
          <w:rFonts w:ascii="Arial" w:hAnsi="Arial" w:cs="Arial"/>
          <w:sz w:val="24"/>
          <w:szCs w:val="28"/>
          <w:lang w:val="en-CA"/>
        </w:rPr>
        <w:t>Aug</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926161">
        <w:rPr>
          <w:rFonts w:ascii="Arial" w:hAnsi="Arial" w:cs="Arial"/>
          <w:sz w:val="24"/>
          <w:szCs w:val="28"/>
          <w:lang w:val="en-CA"/>
        </w:rPr>
        <w:t>6</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w:t>
      </w:r>
      <w:r w:rsidR="00416E51">
        <w:rPr>
          <w:rFonts w:ascii="Arial" w:hAnsi="Arial" w:cs="Arial"/>
          <w:sz w:val="24"/>
          <w:szCs w:val="28"/>
          <w:lang w:val="en-CA"/>
        </w:rPr>
        <w:t>7</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02FE5104"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FB1764">
        <w:rPr>
          <w:rFonts w:ascii="Arial" w:hAnsi="Arial" w:cs="Arial"/>
          <w:sz w:val="22"/>
          <w:szCs w:val="22"/>
          <w:lang w:val="en-US"/>
        </w:rPr>
        <w:t>9.22.2.</w:t>
      </w:r>
      <w:r w:rsidR="00206445">
        <w:rPr>
          <w:rFonts w:ascii="Arial" w:hAnsi="Arial" w:cs="Arial"/>
          <w:sz w:val="22"/>
          <w:szCs w:val="22"/>
          <w:lang w:val="en-US"/>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59BF1B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r w:rsidR="00206445">
        <w:rPr>
          <w:rFonts w:ascii="Arial" w:hAnsi="Arial" w:cs="Arial"/>
          <w:sz w:val="22"/>
          <w:szCs w:val="22"/>
          <w:lang w:val="en-CA"/>
        </w:rPr>
        <w:t xml:space="preserve">one </w:t>
      </w:r>
      <w:r w:rsidR="00FB1764">
        <w:rPr>
          <w:rFonts w:ascii="Arial" w:hAnsi="Arial" w:cs="Arial"/>
          <w:sz w:val="22"/>
          <w:szCs w:val="22"/>
          <w:lang w:val="en-CA"/>
        </w:rPr>
        <w:t>SC</w:t>
      </w:r>
      <w:r w:rsidR="00206445">
        <w:rPr>
          <w:rFonts w:ascii="Arial" w:hAnsi="Arial" w:cs="Arial"/>
          <w:sz w:val="22"/>
          <w:szCs w:val="22"/>
          <w:lang w:val="en-CA"/>
        </w:rPr>
        <w:t>G</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542A4E4D" w:rsidR="00515947" w:rsidRDefault="00386E2A" w:rsidP="00142C2E">
      <w:pPr>
        <w:rPr>
          <w:sz w:val="22"/>
          <w:lang w:val="en-CA"/>
        </w:rPr>
      </w:pPr>
      <w:r>
        <w:rPr>
          <w:sz w:val="22"/>
          <w:lang w:val="en-CA"/>
        </w:rPr>
        <w:t xml:space="preserve">Work on support of efficient activation/deactivation mechanism for SCG </w:t>
      </w:r>
      <w:r>
        <w:rPr>
          <w:sz w:val="22"/>
          <w:lang w:val="en-CA"/>
        </w:rPr>
        <w:fldChar w:fldCharType="begin"/>
      </w:r>
      <w:r>
        <w:rPr>
          <w:sz w:val="22"/>
          <w:lang w:val="en-CA"/>
        </w:rPr>
        <w:instrText xml:space="preserve"> REF _Ref78795536 \r \h </w:instrText>
      </w:r>
      <w:r>
        <w:rPr>
          <w:sz w:val="22"/>
          <w:lang w:val="en-CA"/>
        </w:rPr>
      </w:r>
      <w:r>
        <w:rPr>
          <w:sz w:val="22"/>
          <w:lang w:val="en-CA"/>
        </w:rPr>
        <w:fldChar w:fldCharType="separate"/>
      </w:r>
      <w:r w:rsidR="005E4898">
        <w:rPr>
          <w:sz w:val="22"/>
          <w:lang w:val="en-CA"/>
        </w:rPr>
        <w:t>[1]</w:t>
      </w:r>
      <w:r>
        <w:rPr>
          <w:sz w:val="22"/>
          <w:lang w:val="en-CA"/>
        </w:rPr>
        <w:fldChar w:fldCharType="end"/>
      </w:r>
      <w:r>
        <w:rPr>
          <w:sz w:val="22"/>
          <w:lang w:val="en-CA"/>
        </w:rPr>
        <w:t xml:space="preserve"> started at the RAN4#99-e meeting, and the outcome in terms of agreements and open issues was captured in a WF </w:t>
      </w:r>
      <w:r w:rsidR="002D3360">
        <w:rPr>
          <w:sz w:val="22"/>
          <w:lang w:val="en-CA"/>
        </w:rPr>
        <w:fldChar w:fldCharType="begin"/>
      </w:r>
      <w:r w:rsidR="002D3360">
        <w:rPr>
          <w:sz w:val="22"/>
          <w:lang w:val="en-CA"/>
        </w:rPr>
        <w:instrText xml:space="preserve"> REF _Ref78795590 \r \h </w:instrText>
      </w:r>
      <w:r w:rsidR="002D3360">
        <w:rPr>
          <w:sz w:val="22"/>
          <w:lang w:val="en-CA"/>
        </w:rPr>
      </w:r>
      <w:r w:rsidR="002D3360">
        <w:rPr>
          <w:sz w:val="22"/>
          <w:lang w:val="en-CA"/>
        </w:rPr>
        <w:fldChar w:fldCharType="separate"/>
      </w:r>
      <w:r w:rsidR="005E4898">
        <w:rPr>
          <w:sz w:val="22"/>
          <w:lang w:val="en-CA"/>
        </w:rPr>
        <w:t>[2]</w:t>
      </w:r>
      <w:r w:rsidR="002D3360">
        <w:rPr>
          <w:sz w:val="22"/>
          <w:lang w:val="en-CA"/>
        </w:rPr>
        <w:fldChar w:fldCharType="end"/>
      </w:r>
      <w:r w:rsidR="002D3360">
        <w:rPr>
          <w:sz w:val="22"/>
          <w:lang w:val="en-CA"/>
        </w:rPr>
        <w:t>.</w:t>
      </w:r>
    </w:p>
    <w:p w14:paraId="1F7BBE57" w14:textId="2725BADC" w:rsidR="002D3360" w:rsidRPr="005E6DDB" w:rsidRDefault="002D3360" w:rsidP="00142C2E">
      <w:pPr>
        <w:rPr>
          <w:sz w:val="22"/>
        </w:rPr>
      </w:pPr>
      <w:r>
        <w:rPr>
          <w:sz w:val="22"/>
          <w:lang w:val="en-CA"/>
        </w:rPr>
        <w:t>In this contribution we are providing our views on the open issues.</w:t>
      </w:r>
    </w:p>
    <w:p w14:paraId="6003F8E0" w14:textId="14A69F31" w:rsidR="00A15BE6" w:rsidRDefault="00515947" w:rsidP="0052582B">
      <w:pPr>
        <w:pStyle w:val="Heading1"/>
        <w:ind w:left="431" w:hanging="431"/>
        <w:rPr>
          <w:szCs w:val="36"/>
          <w:lang w:val="en-CA"/>
        </w:rPr>
      </w:pPr>
      <w:r>
        <w:rPr>
          <w:szCs w:val="36"/>
          <w:lang w:val="en-CA"/>
        </w:rPr>
        <w:t>Discussion</w:t>
      </w:r>
    </w:p>
    <w:p w14:paraId="5735DFE2" w14:textId="6CBBB5D4" w:rsidR="00361DC5" w:rsidRPr="00A1744E" w:rsidRDefault="00361DC5" w:rsidP="00361DC5">
      <w:pPr>
        <w:rPr>
          <w:sz w:val="22"/>
          <w:szCs w:val="22"/>
          <w:lang w:val="en-CA"/>
        </w:rPr>
      </w:pPr>
      <w:r w:rsidRPr="00A1744E">
        <w:rPr>
          <w:sz w:val="22"/>
          <w:szCs w:val="22"/>
          <w:lang w:val="en-CA"/>
        </w:rPr>
        <w:t>The following was captured in the WF</w:t>
      </w:r>
      <w:r w:rsidR="007D5DF6">
        <w:rPr>
          <w:sz w:val="22"/>
          <w:szCs w:val="22"/>
          <w:lang w:val="en-CA"/>
        </w:rPr>
        <w:t xml:space="preserve"> </w:t>
      </w:r>
      <w:r w:rsidR="007D5DF6">
        <w:rPr>
          <w:sz w:val="22"/>
          <w:szCs w:val="22"/>
          <w:lang w:val="en-CA"/>
        </w:rPr>
        <w:fldChar w:fldCharType="begin"/>
      </w:r>
      <w:r w:rsidR="007D5DF6">
        <w:rPr>
          <w:sz w:val="22"/>
          <w:szCs w:val="22"/>
          <w:lang w:val="en-CA"/>
        </w:rPr>
        <w:instrText xml:space="preserve"> REF _Ref78795590 \r \h </w:instrText>
      </w:r>
      <w:r w:rsidR="007D5DF6">
        <w:rPr>
          <w:sz w:val="22"/>
          <w:szCs w:val="22"/>
          <w:lang w:val="en-CA"/>
        </w:rPr>
      </w:r>
      <w:r w:rsidR="007D5DF6">
        <w:rPr>
          <w:sz w:val="22"/>
          <w:szCs w:val="22"/>
          <w:lang w:val="en-CA"/>
        </w:rPr>
        <w:fldChar w:fldCharType="separate"/>
      </w:r>
      <w:r w:rsidR="007D5DF6">
        <w:rPr>
          <w:sz w:val="22"/>
          <w:szCs w:val="22"/>
          <w:lang w:val="en-CA"/>
        </w:rPr>
        <w:t>[2]</w:t>
      </w:r>
      <w:r w:rsidR="007D5DF6">
        <w:rPr>
          <w:sz w:val="22"/>
          <w:szCs w:val="22"/>
          <w:lang w:val="en-CA"/>
        </w:rPr>
        <w:fldChar w:fldCharType="end"/>
      </w:r>
      <w:r w:rsidR="007D5DF6">
        <w:rPr>
          <w:sz w:val="22"/>
          <w:szCs w:val="22"/>
          <w:lang w:val="en-CA"/>
        </w:rPr>
        <w:t xml:space="preserve"> on activation/deactivation mechanism for SCG</w:t>
      </w:r>
      <w:r w:rsidRPr="00A1744E">
        <w:rPr>
          <w:sz w:val="22"/>
          <w:szCs w:val="22"/>
          <w:lang w:val="en-CA"/>
        </w:rPr>
        <w:t>.</w:t>
      </w:r>
    </w:p>
    <w:tbl>
      <w:tblPr>
        <w:tblStyle w:val="TableGrid"/>
        <w:tblW w:w="0" w:type="auto"/>
        <w:tblLook w:val="04A0" w:firstRow="1" w:lastRow="0" w:firstColumn="1" w:lastColumn="0" w:noHBand="0" w:noVBand="1"/>
      </w:tblPr>
      <w:tblGrid>
        <w:gridCol w:w="9609"/>
      </w:tblGrid>
      <w:tr w:rsidR="0017307E" w14:paraId="0720B6AD" w14:textId="77777777" w:rsidTr="000B7008">
        <w:trPr>
          <w:trHeight w:val="2719"/>
        </w:trPr>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1BC75FF" w14:textId="77777777" w:rsidR="00DB0B85" w:rsidRPr="00DB0B85" w:rsidRDefault="00DB0B85" w:rsidP="00274331">
            <w:pPr>
              <w:numPr>
                <w:ilvl w:val="0"/>
                <w:numId w:val="14"/>
              </w:numPr>
              <w:tabs>
                <w:tab w:val="clear" w:pos="360"/>
              </w:tabs>
              <w:spacing w:after="0"/>
              <w:rPr>
                <w:rFonts w:asciiTheme="minorHAnsi" w:hAnsiTheme="minorHAnsi" w:cstheme="minorHAnsi"/>
                <w:sz w:val="22"/>
                <w:szCs w:val="22"/>
                <w:lang w:val="en-US"/>
              </w:rPr>
            </w:pPr>
            <w:r w:rsidRPr="00DB0B85">
              <w:rPr>
                <w:rFonts w:asciiTheme="minorHAnsi" w:hAnsiTheme="minorHAnsi" w:cstheme="minorHAnsi"/>
                <w:sz w:val="22"/>
                <w:szCs w:val="22"/>
                <w:lang w:val="en-US"/>
              </w:rPr>
              <w:t>RAN4 are to discuss the potential RRM impacts due to efficient activation/de-activation mechanism for one SCG</w:t>
            </w:r>
          </w:p>
          <w:p w14:paraId="26078783" w14:textId="77777777" w:rsidR="00DB0B85"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sz w:val="22"/>
                <w:szCs w:val="22"/>
                <w:lang w:val="en-US"/>
              </w:rPr>
              <w:t>L3 RRM measurement on PSCell after SCG deactivation (Issue 3-1-1)</w:t>
            </w:r>
          </w:p>
          <w:p w14:paraId="09E67832" w14:textId="77777777" w:rsidR="00DB0B85" w:rsidRPr="00DB0B85" w:rsidRDefault="00DB0B85" w:rsidP="00274331">
            <w:pPr>
              <w:numPr>
                <w:ilvl w:val="2"/>
                <w:numId w:val="14"/>
              </w:numPr>
              <w:spacing w:after="0"/>
              <w:rPr>
                <w:rFonts w:asciiTheme="minorHAnsi" w:hAnsiTheme="minorHAnsi" w:cstheme="minorHAnsi"/>
                <w:sz w:val="22"/>
                <w:szCs w:val="22"/>
                <w:lang w:val="en-US"/>
              </w:rPr>
            </w:pPr>
            <w:r w:rsidRPr="00DB0B85">
              <w:rPr>
                <w:rFonts w:asciiTheme="minorHAnsi" w:hAnsiTheme="minorHAnsi" w:cstheme="minorHAnsi"/>
                <w:sz w:val="22"/>
                <w:szCs w:val="22"/>
                <w:lang w:val="en-US"/>
              </w:rPr>
              <w:t>what RRM measurements are needed for UE maintaining downlink synchronization to allow a quick transition from deactivated to active SCG state</w:t>
            </w:r>
          </w:p>
          <w:p w14:paraId="699DD434" w14:textId="77777777" w:rsidR="00DB0B85" w:rsidRPr="00DB0B85" w:rsidRDefault="00DB0B85" w:rsidP="00274331">
            <w:pPr>
              <w:numPr>
                <w:ilvl w:val="2"/>
                <w:numId w:val="14"/>
              </w:numPr>
              <w:spacing w:after="0"/>
              <w:rPr>
                <w:rFonts w:asciiTheme="minorHAnsi" w:hAnsiTheme="minorHAnsi" w:cstheme="minorHAnsi"/>
                <w:sz w:val="22"/>
                <w:szCs w:val="22"/>
                <w:lang w:val="en-US"/>
              </w:rPr>
            </w:pPr>
            <w:r w:rsidRPr="00DB0B85">
              <w:rPr>
                <w:rFonts w:asciiTheme="minorHAnsi" w:hAnsiTheme="minorHAnsi" w:cstheme="minorHAnsi"/>
                <w:color w:val="FF0000"/>
                <w:sz w:val="22"/>
                <w:szCs w:val="22"/>
                <w:lang w:val="en-US"/>
              </w:rPr>
              <w:t>FFS:</w:t>
            </w:r>
            <w:r w:rsidRPr="00DB0B85">
              <w:rPr>
                <w:rFonts w:asciiTheme="minorHAnsi" w:hAnsiTheme="minorHAnsi" w:cstheme="minorHAnsi"/>
                <w:sz w:val="22"/>
                <w:szCs w:val="22"/>
                <w:lang w:val="en-US"/>
              </w:rPr>
              <w:t xml:space="preserve"> </w:t>
            </w:r>
            <w:r w:rsidRPr="00DB0B85">
              <w:rPr>
                <w:rFonts w:asciiTheme="minorHAnsi" w:hAnsiTheme="minorHAnsi" w:cstheme="minorHAnsi"/>
                <w:sz w:val="22"/>
                <w:szCs w:val="22"/>
              </w:rPr>
              <w:t>reporting requirements for deactivated PSCell</w:t>
            </w:r>
          </w:p>
          <w:p w14:paraId="66E2B803" w14:textId="77777777" w:rsidR="00DB0B85" w:rsidRPr="00DB0B85" w:rsidRDefault="00DB0B85" w:rsidP="00274331">
            <w:pPr>
              <w:numPr>
                <w:ilvl w:val="2"/>
                <w:numId w:val="14"/>
              </w:numPr>
              <w:spacing w:after="0"/>
              <w:rPr>
                <w:rFonts w:asciiTheme="minorHAnsi" w:hAnsiTheme="minorHAnsi" w:cstheme="minorHAnsi"/>
                <w:sz w:val="22"/>
                <w:szCs w:val="22"/>
                <w:lang w:val="en-US"/>
              </w:rPr>
            </w:pPr>
            <w:r w:rsidRPr="00DB0B85">
              <w:rPr>
                <w:rFonts w:asciiTheme="minorHAnsi" w:hAnsiTheme="minorHAnsi" w:cstheme="minorHAnsi"/>
                <w:color w:val="FF0000"/>
                <w:sz w:val="22"/>
                <w:szCs w:val="22"/>
                <w:lang w:val="en-US"/>
              </w:rPr>
              <w:t xml:space="preserve">FFS: </w:t>
            </w:r>
            <w:r w:rsidRPr="00DB0B85">
              <w:rPr>
                <w:rFonts w:asciiTheme="minorHAnsi" w:hAnsiTheme="minorHAnsi" w:cstheme="minorHAnsi"/>
                <w:sz w:val="22"/>
                <w:szCs w:val="22"/>
              </w:rPr>
              <w:t>measurement accuracy requirements for deactivated SCG</w:t>
            </w:r>
          </w:p>
          <w:p w14:paraId="22BA453A" w14:textId="77777777" w:rsidR="00DB0B85"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sz w:val="22"/>
                <w:szCs w:val="22"/>
                <w:lang w:val="en-US"/>
              </w:rPr>
              <w:t>The requirements of SCG activation/deactivation delay requirements (Issue 3-1-3)</w:t>
            </w:r>
          </w:p>
          <w:p w14:paraId="5EFE7864" w14:textId="77777777" w:rsidR="00DB0B85"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sz w:val="22"/>
                <w:szCs w:val="22"/>
                <w:lang w:val="en-US"/>
              </w:rPr>
              <w:t>The requirements for RLM/BFD/BFR/beam management on deactivated PSCell, if RAN2 decides to do so (Issue 3-1-6)</w:t>
            </w:r>
          </w:p>
          <w:p w14:paraId="635D889D" w14:textId="77777777" w:rsidR="00DB0B85"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sz w:val="22"/>
                <w:szCs w:val="22"/>
                <w:lang w:val="en-US"/>
              </w:rPr>
              <w:t>Any interruption requirements related to activation/deactivation of SCG (Issue 3-1-7)</w:t>
            </w:r>
          </w:p>
          <w:p w14:paraId="164EEBA5" w14:textId="77777777" w:rsidR="00DB0B85"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color w:val="FF0000"/>
                <w:sz w:val="22"/>
                <w:szCs w:val="22"/>
                <w:lang w:val="en-US"/>
              </w:rPr>
              <w:t>FFS:</w:t>
            </w:r>
            <w:r w:rsidRPr="00DB0B85">
              <w:rPr>
                <w:rFonts w:asciiTheme="minorHAnsi" w:hAnsiTheme="minorHAnsi" w:cstheme="minorHAnsi"/>
                <w:color w:val="FF0000"/>
                <w:sz w:val="22"/>
                <w:szCs w:val="22"/>
              </w:rPr>
              <w:t xml:space="preserve"> </w:t>
            </w:r>
            <w:r w:rsidRPr="00DB0B85">
              <w:rPr>
                <w:rFonts w:asciiTheme="minorHAnsi" w:hAnsiTheme="minorHAnsi" w:cstheme="minorHAnsi"/>
                <w:sz w:val="22"/>
                <w:szCs w:val="22"/>
              </w:rPr>
              <w:t>whether existing MCG measurement requirements apply for the MCG when the SCG is deactivated (Issue 3-1-2)</w:t>
            </w:r>
          </w:p>
          <w:p w14:paraId="6CB2CF0A" w14:textId="77777777" w:rsidR="00DB0B85"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color w:val="FF0000"/>
                <w:sz w:val="22"/>
                <w:szCs w:val="22"/>
              </w:rPr>
              <w:t xml:space="preserve">FFS: </w:t>
            </w:r>
            <w:r w:rsidRPr="00DB0B85">
              <w:rPr>
                <w:rFonts w:asciiTheme="minorHAnsi" w:hAnsiTheme="minorHAnsi" w:cstheme="minorHAnsi"/>
                <w:sz w:val="22"/>
                <w:szCs w:val="22"/>
              </w:rPr>
              <w:t>Requirement for SCG deactivation delay requirement when one or more Scells in SCG are active or dormant (Issue 3-1-4)</w:t>
            </w:r>
          </w:p>
          <w:p w14:paraId="22BD9205" w14:textId="77777777" w:rsidR="00DB0B85"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color w:val="FF0000"/>
                <w:sz w:val="22"/>
                <w:szCs w:val="22"/>
              </w:rPr>
              <w:t xml:space="preserve">FFS: </w:t>
            </w:r>
            <w:r w:rsidRPr="00DB0B85">
              <w:rPr>
                <w:rFonts w:asciiTheme="minorHAnsi" w:hAnsiTheme="minorHAnsi" w:cstheme="minorHAnsi"/>
                <w:sz w:val="22"/>
                <w:szCs w:val="22"/>
                <w:lang w:val="en-US"/>
              </w:rPr>
              <w:t>Additionally define minimum delay requirements for direct activation of SCG</w:t>
            </w:r>
            <w:r w:rsidRPr="00DB0B85">
              <w:rPr>
                <w:rFonts w:asciiTheme="minorHAnsi" w:hAnsiTheme="minorHAnsi" w:cstheme="minorHAnsi"/>
                <w:b/>
                <w:bCs/>
                <w:sz w:val="22"/>
                <w:szCs w:val="22"/>
                <w:u w:val="single"/>
              </w:rPr>
              <w:t xml:space="preserve"> </w:t>
            </w:r>
            <w:r w:rsidRPr="00DB0B85">
              <w:rPr>
                <w:rFonts w:asciiTheme="minorHAnsi" w:hAnsiTheme="minorHAnsi" w:cstheme="minorHAnsi"/>
                <w:sz w:val="22"/>
                <w:szCs w:val="22"/>
              </w:rPr>
              <w:t>(Issue 3-1-5)</w:t>
            </w:r>
          </w:p>
          <w:p w14:paraId="5C4CBDF8" w14:textId="6E254759" w:rsidR="000B7008" w:rsidRPr="00DB0B85" w:rsidRDefault="00DB0B85" w:rsidP="00274331">
            <w:pPr>
              <w:numPr>
                <w:ilvl w:val="1"/>
                <w:numId w:val="14"/>
              </w:numPr>
              <w:spacing w:after="0"/>
              <w:rPr>
                <w:rFonts w:asciiTheme="minorHAnsi" w:hAnsiTheme="minorHAnsi" w:cstheme="minorHAnsi"/>
                <w:sz w:val="22"/>
                <w:szCs w:val="22"/>
                <w:lang w:val="en-US"/>
              </w:rPr>
            </w:pPr>
            <w:r w:rsidRPr="00DB0B85">
              <w:rPr>
                <w:rFonts w:asciiTheme="minorHAnsi" w:hAnsiTheme="minorHAnsi" w:cstheme="minorHAnsi"/>
                <w:color w:val="FF0000"/>
                <w:sz w:val="22"/>
                <w:szCs w:val="22"/>
              </w:rPr>
              <w:t xml:space="preserve">FFS: </w:t>
            </w:r>
            <w:r w:rsidRPr="00DB0B85">
              <w:rPr>
                <w:rFonts w:asciiTheme="minorHAnsi" w:hAnsiTheme="minorHAnsi" w:cstheme="minorHAnsi"/>
                <w:sz w:val="22"/>
                <w:szCs w:val="22"/>
                <w:lang w:val="en-US"/>
              </w:rPr>
              <w:t>Reduced physical layer processing delay for SCG activation use case</w:t>
            </w:r>
            <w:r w:rsidRPr="00DB0B85">
              <w:rPr>
                <w:rFonts w:asciiTheme="minorHAnsi" w:hAnsiTheme="minorHAnsi" w:cstheme="minorHAnsi"/>
                <w:b/>
                <w:bCs/>
                <w:sz w:val="22"/>
                <w:szCs w:val="22"/>
                <w:u w:val="single"/>
              </w:rPr>
              <w:t xml:space="preserve"> </w:t>
            </w:r>
            <w:r w:rsidRPr="00DB0B85">
              <w:rPr>
                <w:rFonts w:asciiTheme="minorHAnsi" w:hAnsiTheme="minorHAnsi" w:cstheme="minorHAnsi"/>
                <w:sz w:val="22"/>
                <w:szCs w:val="22"/>
              </w:rPr>
              <w:t>(Issue 3-1-8)</w:t>
            </w:r>
          </w:p>
        </w:tc>
      </w:tr>
    </w:tbl>
    <w:p w14:paraId="7927648F" w14:textId="1CDAA0EC" w:rsidR="001004D3" w:rsidRPr="001004D3" w:rsidRDefault="001004D3" w:rsidP="00361DC5">
      <w:pPr>
        <w:spacing w:before="240" w:after="0"/>
        <w:rPr>
          <w:i/>
          <w:iCs/>
          <w:sz w:val="22"/>
          <w:szCs w:val="22"/>
          <w:u w:val="single"/>
        </w:rPr>
      </w:pPr>
      <w:r w:rsidRPr="001004D3">
        <w:rPr>
          <w:i/>
          <w:iCs/>
          <w:sz w:val="22"/>
          <w:szCs w:val="22"/>
          <w:u w:val="single"/>
        </w:rPr>
        <w:t>Measurements on deactivated SCG</w:t>
      </w:r>
    </w:p>
    <w:p w14:paraId="45F1A6D2" w14:textId="45E83ADF" w:rsidR="00361DC5" w:rsidRPr="002D6463" w:rsidRDefault="00361DC5" w:rsidP="00361DC5">
      <w:pPr>
        <w:spacing w:before="240" w:after="0"/>
        <w:rPr>
          <w:sz w:val="22"/>
          <w:szCs w:val="22"/>
          <w:lang w:val="en-US"/>
        </w:rPr>
      </w:pPr>
      <w:r w:rsidRPr="002D6463">
        <w:rPr>
          <w:sz w:val="22"/>
          <w:szCs w:val="22"/>
        </w:rPr>
        <w:t xml:space="preserve">For the feature to be attractive and to bring a significant improvement over existing features, </w:t>
      </w:r>
    </w:p>
    <w:p w14:paraId="6299AEE3" w14:textId="77777777" w:rsidR="00361DC5" w:rsidRPr="002D6463" w:rsidRDefault="00361DC5" w:rsidP="00274331">
      <w:pPr>
        <w:pStyle w:val="ListParagraph"/>
        <w:numPr>
          <w:ilvl w:val="0"/>
          <w:numId w:val="15"/>
        </w:numPr>
        <w:rPr>
          <w:sz w:val="22"/>
          <w:szCs w:val="22"/>
        </w:rPr>
      </w:pPr>
      <w:r w:rsidRPr="002D6463">
        <w:rPr>
          <w:sz w:val="22"/>
          <w:szCs w:val="22"/>
        </w:rPr>
        <w:t>the transition from deactivated to activated SCG state must be quicker than e.g. the procedure for adding a PSCell, since otherwise one might as well use existing procedures for adding and releasing PSCell, and</w:t>
      </w:r>
    </w:p>
    <w:p w14:paraId="3CD72A2F" w14:textId="77777777" w:rsidR="00361DC5" w:rsidRPr="002D6463" w:rsidRDefault="00361DC5" w:rsidP="00274331">
      <w:pPr>
        <w:pStyle w:val="ListParagraph"/>
        <w:numPr>
          <w:ilvl w:val="0"/>
          <w:numId w:val="15"/>
        </w:numPr>
        <w:rPr>
          <w:sz w:val="22"/>
          <w:szCs w:val="22"/>
        </w:rPr>
      </w:pPr>
      <w:r w:rsidRPr="002D6463">
        <w:rPr>
          <w:sz w:val="22"/>
          <w:szCs w:val="22"/>
        </w:rPr>
        <w:t>the power consumption during deactivated SCG state must be lower than during active SCG state, since otherwise one might as well just leave the PSCell active and carry out measurements according to e.g. a 40ms DRX cycle.</w:t>
      </w:r>
    </w:p>
    <w:p w14:paraId="6429F76B" w14:textId="77777777" w:rsidR="00361DC5" w:rsidRPr="002D6463" w:rsidRDefault="00361DC5" w:rsidP="00361DC5">
      <w:pPr>
        <w:rPr>
          <w:sz w:val="22"/>
          <w:szCs w:val="22"/>
        </w:rPr>
      </w:pPr>
      <w:r w:rsidRPr="002D6463">
        <w:rPr>
          <w:sz w:val="22"/>
          <w:szCs w:val="22"/>
        </w:rPr>
        <w:t>This calls for some level of RRM measurements in deactivated SCG state (to allow a fast transition to active state) that are sparser than for active SCG (to allow reduced power consumption while in deactivated state).</w:t>
      </w:r>
    </w:p>
    <w:p w14:paraId="37C6DA10" w14:textId="7AC49EE9" w:rsidR="002D6463" w:rsidRDefault="002D6463" w:rsidP="00361DC5">
      <w:pPr>
        <w:rPr>
          <w:sz w:val="22"/>
          <w:szCs w:val="22"/>
        </w:rPr>
      </w:pPr>
      <w:r w:rsidRPr="002D6463">
        <w:rPr>
          <w:sz w:val="22"/>
          <w:szCs w:val="22"/>
        </w:rPr>
        <w:t>For the type of measurement, we</w:t>
      </w:r>
      <w:r>
        <w:rPr>
          <w:sz w:val="22"/>
          <w:szCs w:val="22"/>
        </w:rPr>
        <w:t xml:space="preserve"> propose SS-</w:t>
      </w:r>
      <w:r w:rsidR="00977105">
        <w:rPr>
          <w:sz w:val="22"/>
          <w:szCs w:val="22"/>
        </w:rPr>
        <w:t>RSRP and SS-SINR</w:t>
      </w:r>
      <w:r>
        <w:rPr>
          <w:sz w:val="22"/>
          <w:szCs w:val="22"/>
        </w:rPr>
        <w:t xml:space="preserve"> measurements, with time index detection when there are multiple SSBs. For the measurement rate, we think one can re-use the concept from deactivated SCell measurements,</w:t>
      </w:r>
      <w:r w:rsidR="0047492A">
        <w:rPr>
          <w:sz w:val="22"/>
          <w:szCs w:val="22"/>
        </w:rPr>
        <w:t xml:space="preserve"> and have as follows:</w:t>
      </w:r>
    </w:p>
    <w:p w14:paraId="2C6C89B6" w14:textId="79F20EDE" w:rsidR="0047492A" w:rsidRDefault="0047492A" w:rsidP="00274331">
      <w:pPr>
        <w:pStyle w:val="ListParagraph"/>
        <w:numPr>
          <w:ilvl w:val="0"/>
          <w:numId w:val="16"/>
        </w:numPr>
        <w:rPr>
          <w:sz w:val="22"/>
          <w:szCs w:val="22"/>
        </w:rPr>
      </w:pPr>
      <w:r>
        <w:rPr>
          <w:sz w:val="22"/>
          <w:szCs w:val="22"/>
        </w:rPr>
        <w:lastRenderedPageBreak/>
        <w:t>carrier specific scaling factor CSSF as for active PSCell measurement, i.e., factor 1 or 2 depending on mode of operation</w:t>
      </w:r>
    </w:p>
    <w:p w14:paraId="0962A072" w14:textId="0BC8ADEF" w:rsidR="0047492A" w:rsidRPr="0047492A" w:rsidRDefault="0047492A" w:rsidP="00274331">
      <w:pPr>
        <w:pStyle w:val="ListParagraph"/>
        <w:numPr>
          <w:ilvl w:val="0"/>
          <w:numId w:val="16"/>
        </w:numPr>
        <w:rPr>
          <w:sz w:val="22"/>
          <w:szCs w:val="22"/>
        </w:rPr>
      </w:pPr>
      <w:r>
        <w:rPr>
          <w:sz w:val="22"/>
          <w:szCs w:val="22"/>
        </w:rPr>
        <w:t xml:space="preserve">measurement cycle for deactivated PSCell </w:t>
      </w:r>
      <w:r w:rsidR="00A1744E">
        <w:rPr>
          <w:sz w:val="22"/>
          <w:szCs w:val="22"/>
        </w:rPr>
        <w:t xml:space="preserve">measurements similar </w:t>
      </w:r>
      <w:r>
        <w:rPr>
          <w:sz w:val="22"/>
          <w:szCs w:val="22"/>
        </w:rPr>
        <w:t>as for deactivated SCell measurements (measCycleSCell), i.e., in the range 160 to 1280ms</w:t>
      </w:r>
    </w:p>
    <w:p w14:paraId="6A1AC0BD" w14:textId="24969A95" w:rsidR="002D6463" w:rsidRDefault="0047492A" w:rsidP="00361DC5">
      <w:pPr>
        <w:rPr>
          <w:sz w:val="22"/>
          <w:szCs w:val="22"/>
        </w:rPr>
      </w:pPr>
      <w:r>
        <w:rPr>
          <w:sz w:val="22"/>
          <w:szCs w:val="22"/>
        </w:rPr>
        <w:t>For the general UE time and frequency maintenance, we think this is satisfied already by measurements on PCell and MCG.</w:t>
      </w:r>
    </w:p>
    <w:p w14:paraId="45A9AE14" w14:textId="445529B3" w:rsidR="00A1744E" w:rsidRDefault="0047492A" w:rsidP="00A1744E">
      <w:pPr>
        <w:spacing w:before="240" w:after="0"/>
        <w:ind w:left="1134" w:hanging="1134"/>
        <w:rPr>
          <w:color w:val="365F91" w:themeColor="accent1" w:themeShade="BF"/>
          <w:sz w:val="22"/>
          <w:szCs w:val="22"/>
        </w:rPr>
      </w:pPr>
      <w:r w:rsidRPr="0047492A">
        <w:rPr>
          <w:b/>
          <w:bCs/>
          <w:color w:val="365F91" w:themeColor="accent1" w:themeShade="BF"/>
          <w:sz w:val="22"/>
          <w:szCs w:val="22"/>
        </w:rPr>
        <w:t>Proposal 1:</w:t>
      </w:r>
      <w:r w:rsidRPr="0047492A">
        <w:rPr>
          <w:b/>
          <w:bCs/>
          <w:color w:val="365F91" w:themeColor="accent1" w:themeShade="BF"/>
          <w:sz w:val="22"/>
          <w:szCs w:val="22"/>
        </w:rPr>
        <w:tab/>
      </w:r>
      <w:r>
        <w:rPr>
          <w:color w:val="365F91" w:themeColor="accent1" w:themeShade="BF"/>
          <w:sz w:val="22"/>
          <w:szCs w:val="22"/>
        </w:rPr>
        <w:t>RRM requirements for deactivated SCG</w:t>
      </w:r>
      <w:r w:rsidR="00A1744E">
        <w:rPr>
          <w:color w:val="365F91" w:themeColor="accent1" w:themeShade="BF"/>
          <w:sz w:val="22"/>
          <w:szCs w:val="22"/>
        </w:rPr>
        <w:t xml:space="preserve"> are based on SS-RSRP </w:t>
      </w:r>
      <w:r w:rsidR="00977105">
        <w:rPr>
          <w:color w:val="365F91" w:themeColor="accent1" w:themeShade="BF"/>
          <w:sz w:val="22"/>
          <w:szCs w:val="22"/>
        </w:rPr>
        <w:t xml:space="preserve">and SS-SINR </w:t>
      </w:r>
      <w:r w:rsidR="00A1744E">
        <w:rPr>
          <w:color w:val="365F91" w:themeColor="accent1" w:themeShade="BF"/>
          <w:sz w:val="22"/>
          <w:szCs w:val="22"/>
        </w:rPr>
        <w:t>measurements with time index detection</w:t>
      </w:r>
      <w:r w:rsidR="007D5DF6">
        <w:rPr>
          <w:color w:val="365F91" w:themeColor="accent1" w:themeShade="BF"/>
          <w:sz w:val="22"/>
          <w:szCs w:val="22"/>
        </w:rPr>
        <w:t>, with measurement rate depending on the following</w:t>
      </w:r>
      <w:r w:rsidR="00A1744E">
        <w:rPr>
          <w:color w:val="365F91" w:themeColor="accent1" w:themeShade="BF"/>
          <w:sz w:val="22"/>
          <w:szCs w:val="22"/>
        </w:rPr>
        <w:t>:</w:t>
      </w:r>
    </w:p>
    <w:p w14:paraId="793187B5" w14:textId="1AD70363" w:rsidR="00A1744E" w:rsidRPr="00A1744E" w:rsidRDefault="00A1744E" w:rsidP="00274331">
      <w:pPr>
        <w:pStyle w:val="ListParagraph"/>
        <w:numPr>
          <w:ilvl w:val="0"/>
          <w:numId w:val="17"/>
        </w:numPr>
        <w:spacing w:after="0"/>
        <w:ind w:left="1418" w:hanging="284"/>
        <w:rPr>
          <w:color w:val="365F91" w:themeColor="accent1" w:themeShade="BF"/>
          <w:sz w:val="22"/>
          <w:szCs w:val="22"/>
        </w:rPr>
      </w:pPr>
      <w:r w:rsidRPr="00A1744E">
        <w:rPr>
          <w:color w:val="365F91" w:themeColor="accent1" w:themeShade="BF"/>
          <w:sz w:val="22"/>
          <w:szCs w:val="22"/>
        </w:rPr>
        <w:t>CSSF as for active PSCell, i.e. 1 or 2 depending on mode of operation,</w:t>
      </w:r>
    </w:p>
    <w:p w14:paraId="7BDDB1B0" w14:textId="484B4688" w:rsidR="0047492A" w:rsidRPr="005449A5" w:rsidRDefault="00A1744E" w:rsidP="00274331">
      <w:pPr>
        <w:pStyle w:val="ListParagraph"/>
        <w:numPr>
          <w:ilvl w:val="0"/>
          <w:numId w:val="17"/>
        </w:numPr>
        <w:spacing w:after="0"/>
        <w:ind w:left="1418" w:hanging="284"/>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SCell, i.e., </w:t>
      </w:r>
      <w:r>
        <w:rPr>
          <w:color w:val="365F91" w:themeColor="accent1" w:themeShade="BF"/>
          <w:sz w:val="22"/>
          <w:szCs w:val="22"/>
        </w:rPr>
        <w:t xml:space="preserve">measCycleSCell </w:t>
      </w:r>
      <w:r w:rsidRPr="00A1744E">
        <w:rPr>
          <w:color w:val="365F91" w:themeColor="accent1" w:themeShade="BF"/>
          <w:sz w:val="22"/>
          <w:szCs w:val="22"/>
        </w:rPr>
        <w:t>within 160 to 1280ms</w:t>
      </w:r>
    </w:p>
    <w:p w14:paraId="3CC0955B" w14:textId="262CCA00" w:rsidR="008D63E9" w:rsidRPr="008A3979" w:rsidRDefault="008D63E9" w:rsidP="008A3979">
      <w:pPr>
        <w:spacing w:before="240"/>
        <w:rPr>
          <w:sz w:val="22"/>
          <w:szCs w:val="22"/>
          <w:lang w:val="en-US"/>
        </w:rPr>
      </w:pPr>
      <w:r w:rsidRPr="008A3979">
        <w:rPr>
          <w:sz w:val="22"/>
          <w:szCs w:val="22"/>
          <w:lang w:val="en-US"/>
        </w:rPr>
        <w:t>For the activation delay</w:t>
      </w:r>
      <w:r w:rsidR="008A3979" w:rsidRPr="008A3979">
        <w:rPr>
          <w:sz w:val="22"/>
          <w:szCs w:val="22"/>
          <w:lang w:val="en-US"/>
        </w:rPr>
        <w:t>, what the feature is competing with is PSCell addition.</w:t>
      </w:r>
    </w:p>
    <w:tbl>
      <w:tblPr>
        <w:tblStyle w:val="TableGrid"/>
        <w:tblW w:w="0" w:type="auto"/>
        <w:tblInd w:w="846" w:type="dxa"/>
        <w:tblLook w:val="04A0" w:firstRow="1" w:lastRow="0" w:firstColumn="1" w:lastColumn="0" w:noHBand="0" w:noVBand="1"/>
      </w:tblPr>
      <w:tblGrid>
        <w:gridCol w:w="7938"/>
      </w:tblGrid>
      <w:tr w:rsidR="008A3979" w14:paraId="493972C1" w14:textId="77777777" w:rsidTr="008A3979">
        <w:tc>
          <w:tcPr>
            <w:tcW w:w="7938" w:type="dxa"/>
          </w:tcPr>
          <w:p w14:paraId="78FF23A3" w14:textId="77777777" w:rsidR="008A3979" w:rsidRPr="008A3979" w:rsidRDefault="008A3979" w:rsidP="005E4898">
            <w:pPr>
              <w:overflowPunct w:val="0"/>
              <w:autoSpaceDE w:val="0"/>
              <w:autoSpaceDN w:val="0"/>
              <w:adjustRightInd w:val="0"/>
              <w:spacing w:after="0"/>
              <w:textAlignment w:val="baseline"/>
              <w:rPr>
                <w:sz w:val="18"/>
                <w:szCs w:val="18"/>
                <w:lang w:eastAsia="ja-JP"/>
              </w:rPr>
            </w:pPr>
            <w:r w:rsidRPr="008A3979">
              <w:rPr>
                <w:sz w:val="18"/>
                <w:szCs w:val="18"/>
                <w:lang w:eastAsia="ko-KR"/>
              </w:rPr>
              <w:t xml:space="preserve">Upon receiving PSCell </w:t>
            </w:r>
            <w:r w:rsidRPr="008A3979">
              <w:rPr>
                <w:sz w:val="18"/>
                <w:szCs w:val="18"/>
                <w:lang w:eastAsia="ja-JP"/>
              </w:rPr>
              <w:t xml:space="preserve">addition </w:t>
            </w:r>
            <w:r w:rsidRPr="008A3979">
              <w:rPr>
                <w:sz w:val="18"/>
                <w:szCs w:val="18"/>
                <w:lang w:eastAsia="ko-KR"/>
              </w:rPr>
              <w:t xml:space="preserve">in subframe </w:t>
            </w:r>
            <w:r w:rsidRPr="008A3979">
              <w:rPr>
                <w:i/>
                <w:sz w:val="18"/>
                <w:szCs w:val="18"/>
                <w:lang w:eastAsia="ko-KR"/>
              </w:rPr>
              <w:t>n</w:t>
            </w:r>
            <w:r w:rsidRPr="008A3979">
              <w:rPr>
                <w:sz w:val="18"/>
                <w:szCs w:val="18"/>
                <w:lang w:eastAsia="ko-KR"/>
              </w:rPr>
              <w:t xml:space="preserve">, the UE shall be capable to transmit </w:t>
            </w:r>
            <w:r w:rsidRPr="008A3979">
              <w:rPr>
                <w:sz w:val="18"/>
                <w:szCs w:val="18"/>
                <w:lang w:eastAsia="ja-JP"/>
              </w:rPr>
              <w:t>P</w:t>
            </w:r>
            <w:r w:rsidRPr="008A3979">
              <w:rPr>
                <w:sz w:val="18"/>
                <w:szCs w:val="18"/>
                <w:lang w:eastAsia="ko-KR"/>
              </w:rPr>
              <w:t xml:space="preserve">RACH </w:t>
            </w:r>
            <w:r w:rsidRPr="008A3979">
              <w:rPr>
                <w:sz w:val="18"/>
                <w:szCs w:val="18"/>
                <w:lang w:eastAsia="ja-JP"/>
              </w:rPr>
              <w:t xml:space="preserve">preamble </w:t>
            </w:r>
            <w:r w:rsidRPr="008A3979">
              <w:rPr>
                <w:sz w:val="18"/>
                <w:szCs w:val="18"/>
                <w:lang w:eastAsia="ko-KR"/>
              </w:rPr>
              <w:t>towards PSCell in FR2 no later than in</w:t>
            </w:r>
            <w:r w:rsidRPr="008A3979">
              <w:rPr>
                <w:sz w:val="18"/>
                <w:szCs w:val="18"/>
                <w:lang w:eastAsia="ja-JP"/>
              </w:rPr>
              <w:t xml:space="preserve"> slot </w:t>
            </w:r>
            <m:oMath>
              <m:r>
                <m:rPr>
                  <m:sty m:val="p"/>
                </m:rPr>
                <w:rPr>
                  <w:rFonts w:ascii="Cambria Math" w:hAnsi="Cambria Math"/>
                  <w:sz w:val="18"/>
                  <w:szCs w:val="18"/>
                </w:rPr>
                <m:t>n+</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config_PSCell</m:t>
                      </m:r>
                    </m:sub>
                  </m:sSub>
                </m:num>
                <m:den>
                  <m:r>
                    <w:rPr>
                      <w:rFonts w:ascii="Cambria Math" w:hAnsi="Cambria Math"/>
                      <w:sz w:val="18"/>
                      <w:szCs w:val="18"/>
                    </w:rPr>
                    <m:t>NR slot length</m:t>
                  </m:r>
                </m:den>
              </m:f>
            </m:oMath>
            <w:r w:rsidRPr="008A3979">
              <w:rPr>
                <w:sz w:val="18"/>
                <w:szCs w:val="18"/>
                <w:lang w:eastAsia="ja-JP"/>
              </w:rPr>
              <w:t>:</w:t>
            </w:r>
          </w:p>
          <w:p w14:paraId="6F071A00" w14:textId="77777777" w:rsidR="008A3979" w:rsidRPr="008A3979" w:rsidRDefault="008A3979" w:rsidP="005E4898">
            <w:pPr>
              <w:spacing w:after="0"/>
              <w:rPr>
                <w:sz w:val="18"/>
                <w:szCs w:val="18"/>
              </w:rPr>
            </w:pPr>
            <w:r w:rsidRPr="008A3979">
              <w:rPr>
                <w:sz w:val="18"/>
                <w:szCs w:val="18"/>
              </w:rPr>
              <w:t>where:</w:t>
            </w:r>
          </w:p>
          <w:p w14:paraId="7E7D6084" w14:textId="77777777" w:rsidR="008A3979" w:rsidRPr="008A3979" w:rsidRDefault="008A3979" w:rsidP="005E4898">
            <w:pPr>
              <w:spacing w:after="60"/>
              <w:ind w:left="568" w:hanging="284"/>
              <w:rPr>
                <w:sz w:val="18"/>
                <w:szCs w:val="18"/>
                <w:vertAlign w:val="subscript"/>
                <w:lang w:eastAsia="zh-CN"/>
              </w:rPr>
            </w:pPr>
            <w:r w:rsidRPr="008A3979">
              <w:rPr>
                <w:sz w:val="18"/>
                <w:szCs w:val="18"/>
              </w:rPr>
              <w:tab/>
              <w:t>T</w:t>
            </w:r>
            <w:r w:rsidRPr="008A3979">
              <w:rPr>
                <w:sz w:val="18"/>
                <w:szCs w:val="18"/>
                <w:vertAlign w:val="subscript"/>
              </w:rPr>
              <w:t>config_PSCell</w:t>
            </w:r>
            <w:r w:rsidRPr="008A3979">
              <w:rPr>
                <w:sz w:val="18"/>
                <w:szCs w:val="18"/>
              </w:rPr>
              <w:t xml:space="preserve"> = T</w:t>
            </w:r>
            <w:r w:rsidRPr="008A3979">
              <w:rPr>
                <w:sz w:val="18"/>
                <w:szCs w:val="18"/>
                <w:vertAlign w:val="subscript"/>
              </w:rPr>
              <w:t>RRC_delay</w:t>
            </w:r>
            <w:r w:rsidRPr="008A3979">
              <w:rPr>
                <w:sz w:val="18"/>
                <w:szCs w:val="18"/>
              </w:rPr>
              <w:t xml:space="preserve"> + T</w:t>
            </w:r>
            <w:r w:rsidRPr="008A3979">
              <w:rPr>
                <w:sz w:val="18"/>
                <w:szCs w:val="18"/>
                <w:vertAlign w:val="subscript"/>
              </w:rPr>
              <w:t>processing</w:t>
            </w:r>
            <w:r w:rsidRPr="008A3979">
              <w:rPr>
                <w:sz w:val="18"/>
                <w:szCs w:val="18"/>
              </w:rPr>
              <w:t xml:space="preserve"> + T</w:t>
            </w:r>
            <w:r w:rsidRPr="008A3979">
              <w:rPr>
                <w:sz w:val="18"/>
                <w:szCs w:val="18"/>
                <w:vertAlign w:val="subscript"/>
              </w:rPr>
              <w:t>search</w:t>
            </w:r>
            <w:r w:rsidRPr="008A3979">
              <w:rPr>
                <w:sz w:val="18"/>
                <w:szCs w:val="18"/>
              </w:rPr>
              <w:t xml:space="preserve"> + T</w:t>
            </w:r>
            <w:r w:rsidRPr="008A3979">
              <w:rPr>
                <w:sz w:val="18"/>
                <w:szCs w:val="18"/>
                <w:vertAlign w:val="subscript"/>
              </w:rPr>
              <w:t>∆</w:t>
            </w:r>
            <w:r w:rsidRPr="008A3979">
              <w:rPr>
                <w:sz w:val="18"/>
                <w:szCs w:val="18"/>
              </w:rPr>
              <w:t xml:space="preserve"> + T</w:t>
            </w:r>
            <w:r w:rsidRPr="008A3979">
              <w:rPr>
                <w:sz w:val="18"/>
                <w:szCs w:val="18"/>
                <w:vertAlign w:val="subscript"/>
              </w:rPr>
              <w:t>PSCell_ DU</w:t>
            </w:r>
            <w:r w:rsidRPr="008A3979">
              <w:rPr>
                <w:sz w:val="18"/>
                <w:szCs w:val="18"/>
              </w:rPr>
              <w:t xml:space="preserve"> + 2 ms</w:t>
            </w:r>
          </w:p>
          <w:p w14:paraId="2AECA529" w14:textId="77777777" w:rsidR="008A3979" w:rsidRPr="008A3979" w:rsidRDefault="008A3979" w:rsidP="005E4898">
            <w:pPr>
              <w:spacing w:after="60"/>
              <w:ind w:left="568" w:hanging="284"/>
              <w:rPr>
                <w:sz w:val="18"/>
                <w:szCs w:val="18"/>
              </w:rPr>
            </w:pPr>
            <w:r w:rsidRPr="008A3979">
              <w:rPr>
                <w:sz w:val="18"/>
                <w:szCs w:val="18"/>
              </w:rPr>
              <w:tab/>
              <w:t>T</w:t>
            </w:r>
            <w:r w:rsidRPr="008A3979">
              <w:rPr>
                <w:sz w:val="18"/>
                <w:szCs w:val="18"/>
                <w:vertAlign w:val="subscript"/>
              </w:rPr>
              <w:t>RRC_delay</w:t>
            </w:r>
            <w:r w:rsidRPr="008A3979">
              <w:rPr>
                <w:sz w:val="18"/>
                <w:szCs w:val="18"/>
              </w:rPr>
              <w:t xml:space="preserve"> is the RRC procedure delay as specified in TS 38.331 [2].</w:t>
            </w:r>
          </w:p>
          <w:p w14:paraId="5388DD73" w14:textId="77777777" w:rsidR="008A3979" w:rsidRPr="008A3979" w:rsidRDefault="008A3979" w:rsidP="005E4898">
            <w:pPr>
              <w:spacing w:after="60"/>
              <w:ind w:left="568" w:hanging="284"/>
              <w:rPr>
                <w:sz w:val="18"/>
                <w:szCs w:val="18"/>
              </w:rPr>
            </w:pPr>
            <w:r w:rsidRPr="008A3979">
              <w:rPr>
                <w:sz w:val="18"/>
                <w:szCs w:val="18"/>
              </w:rPr>
              <w:tab/>
              <w:t>T</w:t>
            </w:r>
            <w:r w:rsidRPr="008A3979">
              <w:rPr>
                <w:sz w:val="18"/>
                <w:szCs w:val="18"/>
                <w:vertAlign w:val="subscript"/>
              </w:rPr>
              <w:t>processing</w:t>
            </w:r>
            <w:r w:rsidRPr="008A3979">
              <w:rPr>
                <w:sz w:val="18"/>
                <w:szCs w:val="18"/>
              </w:rPr>
              <w:t xml:space="preserve"> is the SW processing time needed by UE, including RF warm up period. T</w:t>
            </w:r>
            <w:r w:rsidRPr="008A3979">
              <w:rPr>
                <w:sz w:val="18"/>
                <w:szCs w:val="18"/>
                <w:vertAlign w:val="subscript"/>
              </w:rPr>
              <w:t>processing</w:t>
            </w:r>
            <w:r w:rsidRPr="008A3979">
              <w:rPr>
                <w:sz w:val="18"/>
                <w:szCs w:val="18"/>
              </w:rPr>
              <w:t xml:space="preserve"> = 40 ms.</w:t>
            </w:r>
          </w:p>
          <w:p w14:paraId="44A47086" w14:textId="77777777" w:rsidR="008A3979" w:rsidRPr="008A3979" w:rsidRDefault="008A3979" w:rsidP="005E4898">
            <w:pPr>
              <w:spacing w:after="60"/>
              <w:ind w:left="568" w:hanging="284"/>
              <w:rPr>
                <w:sz w:val="18"/>
                <w:szCs w:val="18"/>
              </w:rPr>
            </w:pPr>
            <w:r w:rsidRPr="008A3979">
              <w:rPr>
                <w:sz w:val="18"/>
                <w:szCs w:val="18"/>
              </w:rPr>
              <w:tab/>
              <w:t>T</w:t>
            </w:r>
            <w:r w:rsidRPr="008A3979">
              <w:rPr>
                <w:sz w:val="18"/>
                <w:szCs w:val="18"/>
                <w:vertAlign w:val="subscript"/>
              </w:rPr>
              <w:t>search</w:t>
            </w:r>
            <w:r w:rsidRPr="008A3979">
              <w:rPr>
                <w:sz w:val="18"/>
                <w:szCs w:val="18"/>
              </w:rPr>
              <w:t xml:space="preserve"> is the time for AGC settling and PSS/SSS detection.</w:t>
            </w:r>
            <w:r w:rsidRPr="008A3979" w:rsidDel="00296FFD">
              <w:rPr>
                <w:sz w:val="18"/>
                <w:szCs w:val="18"/>
              </w:rPr>
              <w:t xml:space="preserve"> </w:t>
            </w:r>
            <w:r w:rsidRPr="008A3979">
              <w:rPr>
                <w:sz w:val="18"/>
                <w:szCs w:val="18"/>
                <w:lang w:eastAsia="ko-KR"/>
              </w:rPr>
              <w:t xml:space="preserve">If the target cell is known, </w:t>
            </w:r>
            <w:r w:rsidRPr="008A3979">
              <w:rPr>
                <w:rFonts w:eastAsia="Calibri"/>
                <w:sz w:val="18"/>
                <w:szCs w:val="18"/>
              </w:rPr>
              <w:t>T</w:t>
            </w:r>
            <w:r w:rsidRPr="008A3979">
              <w:rPr>
                <w:rFonts w:eastAsia="Calibri"/>
                <w:sz w:val="18"/>
                <w:szCs w:val="18"/>
                <w:vertAlign w:val="subscript"/>
              </w:rPr>
              <w:t>search</w:t>
            </w:r>
            <w:r w:rsidRPr="008A3979">
              <w:rPr>
                <w:rFonts w:eastAsia="Calibri"/>
                <w:sz w:val="18"/>
                <w:szCs w:val="18"/>
              </w:rPr>
              <w:t xml:space="preserve"> = 0 ms.</w:t>
            </w:r>
            <w:r w:rsidRPr="008A3979">
              <w:rPr>
                <w:sz w:val="18"/>
                <w:szCs w:val="18"/>
                <w:lang w:eastAsia="ko-KR"/>
              </w:rPr>
              <w:t xml:space="preserve"> </w:t>
            </w:r>
            <w:r w:rsidRPr="008A3979">
              <w:rPr>
                <w:rFonts w:eastAsia="Calibri"/>
                <w:sz w:val="18"/>
                <w:szCs w:val="18"/>
              </w:rPr>
              <w:t xml:space="preserve">If the target cell is unknown and the target cell </w:t>
            </w:r>
            <w:r w:rsidRPr="008A3979">
              <w:rPr>
                <w:rFonts w:cs="v4.2.0"/>
                <w:sz w:val="18"/>
                <w:szCs w:val="18"/>
              </w:rPr>
              <w:t xml:space="preserve">Ês/Iot </w:t>
            </w:r>
            <w:r w:rsidRPr="008A3979">
              <w:rPr>
                <w:rFonts w:hint="eastAsia"/>
                <w:sz w:val="18"/>
                <w:szCs w:val="18"/>
              </w:rPr>
              <w:t>≥</w:t>
            </w:r>
            <w:r w:rsidRPr="008A3979">
              <w:rPr>
                <w:sz w:val="18"/>
                <w:szCs w:val="18"/>
              </w:rPr>
              <w:t xml:space="preserve"> </w:t>
            </w:r>
            <w:r w:rsidRPr="008A3979">
              <w:rPr>
                <w:rFonts w:cs="v4.2.0"/>
                <w:sz w:val="18"/>
                <w:szCs w:val="18"/>
              </w:rPr>
              <w:t>-2dB</w:t>
            </w:r>
            <w:r w:rsidRPr="008A3979">
              <w:rPr>
                <w:sz w:val="18"/>
                <w:szCs w:val="18"/>
                <w:lang w:eastAsia="ko-KR"/>
              </w:rPr>
              <w:t>, T</w:t>
            </w:r>
            <w:r w:rsidRPr="008A3979">
              <w:rPr>
                <w:sz w:val="18"/>
                <w:szCs w:val="18"/>
                <w:vertAlign w:val="subscript"/>
                <w:lang w:eastAsia="ko-KR"/>
              </w:rPr>
              <w:t>search</w:t>
            </w:r>
            <w:r w:rsidRPr="008A3979">
              <w:rPr>
                <w:sz w:val="18"/>
                <w:szCs w:val="18"/>
                <w:lang w:eastAsia="ko-KR"/>
              </w:rPr>
              <w:t xml:space="preserve"> = </w:t>
            </w:r>
            <w:r w:rsidRPr="008A3979">
              <w:rPr>
                <w:sz w:val="18"/>
                <w:szCs w:val="18"/>
                <w:lang w:eastAsia="zh-CN"/>
              </w:rPr>
              <w:t>24</w:t>
            </w:r>
            <w:r w:rsidRPr="008A3979">
              <w:rPr>
                <w:sz w:val="18"/>
                <w:szCs w:val="18"/>
                <w:lang w:eastAsia="ko-KR"/>
              </w:rPr>
              <w:t>*</w:t>
            </w:r>
            <w:r w:rsidRPr="008A3979">
              <w:rPr>
                <w:rFonts w:cs="v4.2.0"/>
                <w:sz w:val="18"/>
                <w:szCs w:val="18"/>
                <w:lang w:eastAsia="zh-CN"/>
              </w:rPr>
              <w:t xml:space="preserve"> Trs</w:t>
            </w:r>
            <w:r w:rsidRPr="008A3979">
              <w:rPr>
                <w:sz w:val="18"/>
                <w:szCs w:val="18"/>
                <w:lang w:eastAsia="ko-KR"/>
              </w:rPr>
              <w:t xml:space="preserve"> ms.</w:t>
            </w:r>
          </w:p>
          <w:p w14:paraId="737DA629" w14:textId="77777777" w:rsidR="008A3979" w:rsidRPr="008A3979" w:rsidRDefault="008A3979" w:rsidP="005E4898">
            <w:pPr>
              <w:spacing w:after="60"/>
              <w:ind w:left="568" w:hanging="284"/>
              <w:rPr>
                <w:sz w:val="18"/>
                <w:szCs w:val="18"/>
              </w:rPr>
            </w:pPr>
            <w:r w:rsidRPr="008A3979">
              <w:rPr>
                <w:sz w:val="18"/>
                <w:szCs w:val="18"/>
              </w:rPr>
              <w:tab/>
              <w:t>T</w:t>
            </w:r>
            <w:r w:rsidRPr="008A3979">
              <w:rPr>
                <w:sz w:val="18"/>
                <w:szCs w:val="18"/>
                <w:vertAlign w:val="subscript"/>
              </w:rPr>
              <w:t>∆</w:t>
            </w:r>
            <w:r w:rsidRPr="008A3979">
              <w:rPr>
                <w:sz w:val="18"/>
                <w:szCs w:val="18"/>
              </w:rPr>
              <w:t xml:space="preserve"> is time for fine time tracking and acquiring full timing information of the target cell. T</w:t>
            </w:r>
            <w:r w:rsidRPr="008A3979">
              <w:rPr>
                <w:sz w:val="18"/>
                <w:szCs w:val="18"/>
                <w:vertAlign w:val="subscript"/>
              </w:rPr>
              <w:t>∆</w:t>
            </w:r>
            <w:r w:rsidRPr="008A3979">
              <w:rPr>
                <w:sz w:val="18"/>
                <w:szCs w:val="18"/>
              </w:rPr>
              <w:t xml:space="preserve"> = 1</w:t>
            </w:r>
            <w:r w:rsidRPr="008A3979">
              <w:rPr>
                <w:sz w:val="18"/>
                <w:szCs w:val="18"/>
                <w:lang w:eastAsia="fr-FR"/>
              </w:rPr>
              <w:t>*</w:t>
            </w:r>
            <w:r w:rsidRPr="008A3979">
              <w:rPr>
                <w:rFonts w:cs="v4.2.0"/>
                <w:sz w:val="18"/>
                <w:szCs w:val="18"/>
                <w:lang w:eastAsia="zh-CN"/>
              </w:rPr>
              <w:t>Trs</w:t>
            </w:r>
            <w:r w:rsidRPr="008A3979">
              <w:rPr>
                <w:sz w:val="18"/>
                <w:szCs w:val="18"/>
              </w:rPr>
              <w:t xml:space="preserve"> ms for a known or unknown PSCell.</w:t>
            </w:r>
          </w:p>
          <w:p w14:paraId="1A0B9400" w14:textId="1A54E357" w:rsidR="008A3979" w:rsidRPr="008A3979" w:rsidRDefault="008A3979" w:rsidP="005E4898">
            <w:pPr>
              <w:spacing w:after="60"/>
              <w:ind w:left="568" w:hanging="284"/>
            </w:pPr>
            <w:r w:rsidRPr="008A3979">
              <w:rPr>
                <w:sz w:val="18"/>
                <w:szCs w:val="18"/>
              </w:rPr>
              <w:tab/>
              <w:t>T</w:t>
            </w:r>
            <w:r w:rsidRPr="008A3979">
              <w:rPr>
                <w:sz w:val="18"/>
                <w:szCs w:val="18"/>
                <w:vertAlign w:val="subscript"/>
              </w:rPr>
              <w:t>PSCell_ DU</w:t>
            </w:r>
            <w:r w:rsidRPr="008A3979">
              <w:rPr>
                <w:sz w:val="18"/>
                <w:szCs w:val="18"/>
              </w:rPr>
              <w:t xml:space="preserve"> is the delay uncertainty in acquiring the first available PRACH occasion in the PSCell. T</w:t>
            </w:r>
            <w:r w:rsidRPr="008A3979">
              <w:rPr>
                <w:sz w:val="18"/>
                <w:szCs w:val="18"/>
                <w:vertAlign w:val="subscript"/>
              </w:rPr>
              <w:t>PSCell_ DU</w:t>
            </w:r>
            <w:r w:rsidRPr="008A3979">
              <w:rPr>
                <w:sz w:val="18"/>
                <w:szCs w:val="18"/>
              </w:rPr>
              <w:t xml:space="preserve"> is up to the summation of SSB to PRACH occasion association period and 10 ms. SSB to PRACH occasion associated period is defined in Table 8.1-1 of TS 38.213 [3].</w:t>
            </w:r>
          </w:p>
        </w:tc>
      </w:tr>
    </w:tbl>
    <w:p w14:paraId="463DA034" w14:textId="763DB1F6" w:rsidR="008A3979" w:rsidRDefault="008A3979" w:rsidP="009B1097">
      <w:pPr>
        <w:spacing w:before="240" w:after="0"/>
        <w:rPr>
          <w:sz w:val="22"/>
          <w:szCs w:val="22"/>
          <w:lang w:val="en-US"/>
        </w:rPr>
      </w:pPr>
      <w:r w:rsidRPr="008A3979">
        <w:rPr>
          <w:sz w:val="22"/>
          <w:szCs w:val="22"/>
          <w:lang w:val="en-US"/>
        </w:rPr>
        <w:t xml:space="preserve">Here we </w:t>
      </w:r>
      <w:r w:rsidR="008A453B">
        <w:rPr>
          <w:sz w:val="22"/>
          <w:szCs w:val="22"/>
          <w:lang w:val="en-US"/>
        </w:rPr>
        <w:t xml:space="preserve">suggest that </w:t>
      </w:r>
      <w:r w:rsidRPr="008A3979">
        <w:rPr>
          <w:sz w:val="22"/>
          <w:szCs w:val="22"/>
          <w:lang w:val="en-US"/>
        </w:rPr>
        <w:t xml:space="preserve">the following shall be considered. </w:t>
      </w:r>
    </w:p>
    <w:p w14:paraId="06BF9467" w14:textId="3C037418" w:rsidR="008A3979" w:rsidRPr="008A453B" w:rsidRDefault="008A453B" w:rsidP="00274331">
      <w:pPr>
        <w:pStyle w:val="ListParagraph"/>
        <w:numPr>
          <w:ilvl w:val="0"/>
          <w:numId w:val="18"/>
        </w:numPr>
        <w:spacing w:before="240" w:after="0"/>
        <w:rPr>
          <w:sz w:val="22"/>
          <w:szCs w:val="22"/>
          <w:lang w:val="en-US"/>
        </w:rPr>
      </w:pPr>
      <w:r w:rsidRPr="008A453B">
        <w:rPr>
          <w:sz w:val="22"/>
          <w:szCs w:val="22"/>
          <w:lang w:val="en-US"/>
        </w:rPr>
        <w:t>Software has already been loaded and configured for the PSCell as part of PSCell addition or PSCell change, hence Tprocessing = 0ms shall be assumed at the time of activation. This assumption is similar to the assumption implicitly made for SCell activation.</w:t>
      </w:r>
    </w:p>
    <w:p w14:paraId="6B8995E2" w14:textId="4BC8FC6A" w:rsidR="008A453B" w:rsidRDefault="008A453B" w:rsidP="00274331">
      <w:pPr>
        <w:pStyle w:val="ListParagraph"/>
        <w:numPr>
          <w:ilvl w:val="0"/>
          <w:numId w:val="18"/>
        </w:numPr>
        <w:spacing w:before="240"/>
        <w:ind w:left="714" w:hanging="357"/>
        <w:contextualSpacing w:val="0"/>
        <w:rPr>
          <w:sz w:val="22"/>
          <w:szCs w:val="22"/>
          <w:lang w:val="en-US"/>
        </w:rPr>
      </w:pPr>
      <w:r w:rsidRPr="008A453B">
        <w:rPr>
          <w:sz w:val="22"/>
          <w:szCs w:val="22"/>
          <w:lang w:val="en-US"/>
        </w:rPr>
        <w:t>The PSCell in deactivated state is in the normal scenario known to the UE, hence as baseline Tsearch = 0ms shall be assumed.</w:t>
      </w:r>
    </w:p>
    <w:p w14:paraId="49DAC03B" w14:textId="242C2FE7" w:rsidR="004953A1" w:rsidRDefault="008A453B" w:rsidP="008A453B">
      <w:pPr>
        <w:spacing w:before="240" w:after="0"/>
        <w:rPr>
          <w:sz w:val="22"/>
          <w:szCs w:val="22"/>
          <w:lang w:val="en-US"/>
        </w:rPr>
      </w:pPr>
      <w:r>
        <w:rPr>
          <w:sz w:val="22"/>
          <w:szCs w:val="22"/>
          <w:lang w:val="en-US"/>
        </w:rPr>
        <w:t xml:space="preserve">In principle we think that at least for some </w:t>
      </w:r>
      <w:r w:rsidR="004953A1">
        <w:rPr>
          <w:sz w:val="22"/>
          <w:szCs w:val="22"/>
          <w:lang w:val="en-US"/>
        </w:rPr>
        <w:t>scenarios it should be possible to avoid timing and gain refinement, at least if it is agreed to use CSSF for active PSCell also for deactivated PSCell. The reason is that in such case, CSSF will be limited to 1 or 2 (depending on mode of operation), which is not the general case for SCells. If then further applying a short measurement cycle e.g. 160ms for the deactivated PSCell, it would mean that UE can monitor the PSCell every 160 or 320ms. In contrast, CSSF for SCells is proportional to the number of measured carriers and hence in general it results in sparser sampling of each SCC. We think it would be justified to have the UE using every opportunity to measure on deactivated PSCell, and if those measurements are dense enough, no additional timing or gain refinement would be needed before activation.</w:t>
      </w:r>
    </w:p>
    <w:p w14:paraId="2CCDC7E0" w14:textId="5258813C" w:rsidR="004953A1" w:rsidRPr="008A453B" w:rsidRDefault="004953A1" w:rsidP="008A453B">
      <w:pPr>
        <w:spacing w:before="240" w:after="0"/>
        <w:rPr>
          <w:sz w:val="22"/>
          <w:szCs w:val="22"/>
          <w:lang w:val="en-US"/>
        </w:rPr>
      </w:pPr>
      <w:r>
        <w:rPr>
          <w:sz w:val="22"/>
          <w:szCs w:val="22"/>
          <w:lang w:val="en-US"/>
        </w:rPr>
        <w:t xml:space="preserve">Hence we think that RAN4 </w:t>
      </w:r>
      <w:r w:rsidRPr="004953A1">
        <w:rPr>
          <w:sz w:val="22"/>
          <w:szCs w:val="22"/>
          <w:lang w:val="en-US"/>
        </w:rPr>
        <w:t xml:space="preserve">shall further discuss whether there are cases </w:t>
      </w:r>
      <w:r w:rsidR="00097E9A">
        <w:rPr>
          <w:sz w:val="22"/>
          <w:szCs w:val="22"/>
          <w:lang w:val="en-US"/>
        </w:rPr>
        <w:t>for which</w:t>
      </w:r>
      <w:r w:rsidRPr="004953A1">
        <w:rPr>
          <w:sz w:val="22"/>
          <w:szCs w:val="22"/>
          <w:lang w:val="en-US"/>
        </w:rPr>
        <w:t xml:space="preserve"> </w:t>
      </w:r>
      <w:r w:rsidRPr="008A3979">
        <w:rPr>
          <w:sz w:val="22"/>
          <w:szCs w:val="22"/>
        </w:rPr>
        <w:t>T</w:t>
      </w:r>
      <w:r w:rsidRPr="008A3979">
        <w:rPr>
          <w:sz w:val="22"/>
          <w:szCs w:val="22"/>
          <w:vertAlign w:val="subscript"/>
        </w:rPr>
        <w:t>∆</w:t>
      </w:r>
      <w:r w:rsidRPr="004953A1">
        <w:rPr>
          <w:sz w:val="22"/>
          <w:szCs w:val="22"/>
        </w:rPr>
        <w:t>=0ms can be applied.</w:t>
      </w:r>
      <w:r>
        <w:rPr>
          <w:sz w:val="22"/>
          <w:szCs w:val="22"/>
        </w:rPr>
        <w:t xml:space="preserve"> </w:t>
      </w:r>
    </w:p>
    <w:p w14:paraId="52813655" w14:textId="1CD48427" w:rsidR="00097E9A" w:rsidRDefault="00097E9A" w:rsidP="008A3979">
      <w:pPr>
        <w:spacing w:before="240" w:after="0"/>
        <w:rPr>
          <w:sz w:val="22"/>
          <w:szCs w:val="22"/>
        </w:rPr>
      </w:pPr>
      <w:r>
        <w:rPr>
          <w:sz w:val="22"/>
          <w:szCs w:val="22"/>
          <w:lang w:val="en-US"/>
        </w:rPr>
        <w:t xml:space="preserve">Regarding </w:t>
      </w:r>
      <w:r w:rsidRPr="008A3979">
        <w:t>T</w:t>
      </w:r>
      <w:r w:rsidRPr="008A3979">
        <w:rPr>
          <w:vertAlign w:val="subscript"/>
        </w:rPr>
        <w:t>PSCell_ DU</w:t>
      </w:r>
      <w:r>
        <w:t xml:space="preserve"> </w:t>
      </w:r>
      <w:r w:rsidRPr="00097E9A">
        <w:rPr>
          <w:sz w:val="22"/>
          <w:szCs w:val="22"/>
        </w:rPr>
        <w:t>our understan</w:t>
      </w:r>
      <w:r>
        <w:rPr>
          <w:sz w:val="22"/>
          <w:szCs w:val="22"/>
        </w:rPr>
        <w:t>d</w:t>
      </w:r>
      <w:r w:rsidRPr="00097E9A">
        <w:rPr>
          <w:sz w:val="22"/>
          <w:szCs w:val="22"/>
        </w:rPr>
        <w:t>ing is that it has not been fully settled by RAN2</w:t>
      </w:r>
      <w:r>
        <w:rPr>
          <w:sz w:val="22"/>
          <w:szCs w:val="22"/>
        </w:rPr>
        <w:t xml:space="preserve"> under which conditions the UE needs to do a RA as part of the activation procedure. This depends e.g. on whether TAT can continue to run for deactivated PSCell. But in any case one can assume that </w:t>
      </w:r>
      <w:r w:rsidR="00716D1A">
        <w:rPr>
          <w:sz w:val="22"/>
          <w:szCs w:val="22"/>
        </w:rPr>
        <w:t>for</w:t>
      </w:r>
      <w:r>
        <w:rPr>
          <w:sz w:val="22"/>
          <w:szCs w:val="22"/>
        </w:rPr>
        <w:t xml:space="preserve"> scenarios where the TA would be invalid at the time of activation and RA therefore is needed</w:t>
      </w:r>
      <w:r w:rsidR="00716D1A">
        <w:rPr>
          <w:sz w:val="22"/>
          <w:szCs w:val="22"/>
        </w:rPr>
        <w:t xml:space="preserve">, </w:t>
      </w:r>
      <w:r w:rsidR="00716D1A" w:rsidRPr="008A3979">
        <w:t>T</w:t>
      </w:r>
      <w:r w:rsidR="00716D1A" w:rsidRPr="008A3979">
        <w:rPr>
          <w:vertAlign w:val="subscript"/>
        </w:rPr>
        <w:t>PSCell_ DU</w:t>
      </w:r>
      <w:r w:rsidR="00716D1A">
        <w:t xml:space="preserve"> </w:t>
      </w:r>
      <w:r w:rsidR="00716D1A" w:rsidRPr="00716D1A">
        <w:rPr>
          <w:sz w:val="22"/>
          <w:szCs w:val="22"/>
        </w:rPr>
        <w:t>represent</w:t>
      </w:r>
      <w:r w:rsidR="00716D1A">
        <w:rPr>
          <w:sz w:val="22"/>
          <w:szCs w:val="22"/>
        </w:rPr>
        <w:t>s</w:t>
      </w:r>
      <w:r w:rsidR="00716D1A" w:rsidRPr="00716D1A">
        <w:rPr>
          <w:sz w:val="22"/>
          <w:szCs w:val="22"/>
        </w:rPr>
        <w:t xml:space="preserve"> the delay uncertainty until first available </w:t>
      </w:r>
      <w:r w:rsidR="00716D1A">
        <w:rPr>
          <w:sz w:val="22"/>
          <w:szCs w:val="22"/>
        </w:rPr>
        <w:t xml:space="preserve">PRACH occasion, whereas for scenarios where RA is not needed, if supported, </w:t>
      </w:r>
      <w:r w:rsidR="00716D1A" w:rsidRPr="008A3979">
        <w:t>T</w:t>
      </w:r>
      <w:r w:rsidR="00716D1A" w:rsidRPr="008A3979">
        <w:rPr>
          <w:vertAlign w:val="subscript"/>
        </w:rPr>
        <w:t>PSCell_ DU</w:t>
      </w:r>
      <w:r w:rsidR="00716D1A">
        <w:t xml:space="preserve"> may </w:t>
      </w:r>
      <w:r w:rsidR="00716D1A" w:rsidRPr="00716D1A">
        <w:rPr>
          <w:sz w:val="22"/>
          <w:szCs w:val="22"/>
        </w:rPr>
        <w:lastRenderedPageBreak/>
        <w:t>represent</w:t>
      </w:r>
      <w:r w:rsidR="00716D1A">
        <w:rPr>
          <w:sz w:val="22"/>
          <w:szCs w:val="22"/>
        </w:rPr>
        <w:t xml:space="preserve">s the delay uncertainty until the first occasion a SR can be sent. </w:t>
      </w:r>
      <w:r w:rsidR="008840DD">
        <w:rPr>
          <w:sz w:val="22"/>
          <w:szCs w:val="22"/>
        </w:rPr>
        <w:t>Hence, as as staring point the following activation timeline can be assumed:</w:t>
      </w:r>
    </w:p>
    <w:p w14:paraId="4B0FEE74" w14:textId="425EB70F" w:rsidR="00097E9A" w:rsidRDefault="00097E9A" w:rsidP="000773AE">
      <w:pPr>
        <w:spacing w:before="240" w:after="0"/>
        <w:jc w:val="center"/>
      </w:pPr>
      <w:r w:rsidRPr="008A3979">
        <w:t>T</w:t>
      </w:r>
      <w:r w:rsidR="008840DD">
        <w:rPr>
          <w:vertAlign w:val="subscript"/>
        </w:rPr>
        <w:t>activate</w:t>
      </w:r>
      <w:r w:rsidRPr="008A3979">
        <w:rPr>
          <w:vertAlign w:val="subscript"/>
        </w:rPr>
        <w:t>_</w:t>
      </w:r>
      <w:r w:rsidR="008840DD">
        <w:rPr>
          <w:vertAlign w:val="subscript"/>
        </w:rPr>
        <w:t>SCG</w:t>
      </w:r>
      <w:r w:rsidRPr="008A3979">
        <w:t xml:space="preserve"> = T</w:t>
      </w:r>
      <w:r w:rsidRPr="008A3979">
        <w:rPr>
          <w:vertAlign w:val="subscript"/>
        </w:rPr>
        <w:t>RRC_delay</w:t>
      </w:r>
      <w:r w:rsidRPr="008A3979">
        <w:t xml:space="preserve"> + T</w:t>
      </w:r>
      <w:r w:rsidRPr="008A3979">
        <w:rPr>
          <w:vertAlign w:val="subscript"/>
        </w:rPr>
        <w:t>∆</w:t>
      </w:r>
      <w:r w:rsidRPr="008A3979">
        <w:t xml:space="preserve"> + T</w:t>
      </w:r>
      <w:r w:rsidRPr="008A3979">
        <w:rPr>
          <w:vertAlign w:val="subscript"/>
        </w:rPr>
        <w:t>PSCell_ DU</w:t>
      </w:r>
      <w:r w:rsidRPr="008A3979">
        <w:t xml:space="preserve"> + 2 ms</w:t>
      </w:r>
    </w:p>
    <w:p w14:paraId="5B5E9B8B" w14:textId="441F279D" w:rsidR="008840DD" w:rsidRDefault="008840DD" w:rsidP="008840DD">
      <w:pPr>
        <w:spacing w:before="240" w:after="0"/>
        <w:ind w:left="1134" w:hanging="1134"/>
        <w:rPr>
          <w:color w:val="365F91" w:themeColor="accent1" w:themeShade="BF"/>
          <w:sz w:val="22"/>
          <w:szCs w:val="22"/>
        </w:rPr>
      </w:pPr>
      <w:r w:rsidRPr="008840DD">
        <w:rPr>
          <w:b/>
          <w:bCs/>
          <w:color w:val="365F91" w:themeColor="accent1" w:themeShade="BF"/>
          <w:sz w:val="22"/>
          <w:szCs w:val="22"/>
        </w:rPr>
        <w:t xml:space="preserve">Proposal 2: </w:t>
      </w:r>
      <w:r w:rsidRPr="008840DD">
        <w:rPr>
          <w:b/>
          <w:bCs/>
          <w:color w:val="365F91" w:themeColor="accent1" w:themeShade="BF"/>
          <w:sz w:val="22"/>
          <w:szCs w:val="22"/>
        </w:rPr>
        <w:tab/>
      </w:r>
      <w:r>
        <w:rPr>
          <w:color w:val="365F91" w:themeColor="accent1" w:themeShade="BF"/>
          <w:sz w:val="22"/>
          <w:szCs w:val="22"/>
        </w:rPr>
        <w:t>As a starting point, the following activation timeline can be assumed:</w:t>
      </w:r>
      <w:r w:rsidRPr="008840DD">
        <w:t xml:space="preserve"> </w:t>
      </w:r>
      <w:r w:rsidRPr="008840DD">
        <w:rPr>
          <w:color w:val="365F91" w:themeColor="accent1" w:themeShade="BF"/>
          <w:sz w:val="22"/>
          <w:szCs w:val="22"/>
        </w:rPr>
        <w:t>T</w:t>
      </w:r>
      <w:r w:rsidRPr="008840DD">
        <w:rPr>
          <w:color w:val="365F91" w:themeColor="accent1" w:themeShade="BF"/>
          <w:sz w:val="22"/>
          <w:szCs w:val="22"/>
          <w:vertAlign w:val="subscript"/>
        </w:rPr>
        <w:t xml:space="preserve">activate_SCG </w:t>
      </w:r>
      <w:r w:rsidRPr="008840DD">
        <w:rPr>
          <w:color w:val="365F91" w:themeColor="accent1" w:themeShade="BF"/>
          <w:sz w:val="22"/>
          <w:szCs w:val="22"/>
        </w:rPr>
        <w:t>= T</w:t>
      </w:r>
      <w:r w:rsidRPr="008840DD">
        <w:rPr>
          <w:color w:val="365F91" w:themeColor="accent1" w:themeShade="BF"/>
          <w:sz w:val="22"/>
          <w:szCs w:val="22"/>
          <w:vertAlign w:val="subscript"/>
        </w:rPr>
        <w:t xml:space="preserve">RRC_delay </w:t>
      </w:r>
      <w:r w:rsidRPr="008840DD">
        <w:rPr>
          <w:color w:val="365F91" w:themeColor="accent1" w:themeShade="BF"/>
          <w:sz w:val="22"/>
          <w:szCs w:val="22"/>
        </w:rPr>
        <w:t>+ T</w:t>
      </w:r>
      <w:r w:rsidRPr="008840DD">
        <w:rPr>
          <w:color w:val="365F91" w:themeColor="accent1" w:themeShade="BF"/>
          <w:sz w:val="22"/>
          <w:szCs w:val="22"/>
          <w:vertAlign w:val="subscript"/>
        </w:rPr>
        <w:t>∆</w:t>
      </w:r>
      <w:r w:rsidRPr="008840DD">
        <w:rPr>
          <w:color w:val="365F91" w:themeColor="accent1" w:themeShade="BF"/>
          <w:sz w:val="22"/>
          <w:szCs w:val="22"/>
        </w:rPr>
        <w:t xml:space="preserve"> + T</w:t>
      </w:r>
      <w:r w:rsidRPr="008840DD">
        <w:rPr>
          <w:color w:val="365F91" w:themeColor="accent1" w:themeShade="BF"/>
          <w:sz w:val="22"/>
          <w:szCs w:val="22"/>
          <w:vertAlign w:val="subscript"/>
        </w:rPr>
        <w:t>PSCell_ DU</w:t>
      </w:r>
      <w:r w:rsidRPr="008840DD">
        <w:rPr>
          <w:color w:val="365F91" w:themeColor="accent1" w:themeShade="BF"/>
          <w:sz w:val="22"/>
          <w:szCs w:val="22"/>
        </w:rPr>
        <w:t xml:space="preserve"> + 2 ms</w:t>
      </w:r>
      <w:r>
        <w:rPr>
          <w:color w:val="365F91" w:themeColor="accent1" w:themeShade="BF"/>
          <w:sz w:val="22"/>
          <w:szCs w:val="22"/>
        </w:rPr>
        <w:t>.</w:t>
      </w:r>
    </w:p>
    <w:p w14:paraId="7A3F84E7" w14:textId="373759F2" w:rsidR="008840DD" w:rsidRPr="008840DD" w:rsidRDefault="008840DD" w:rsidP="008840DD">
      <w:pPr>
        <w:spacing w:before="240" w:after="0"/>
        <w:ind w:left="1134" w:hanging="1134"/>
        <w:rPr>
          <w:b/>
          <w:bCs/>
          <w:color w:val="365F91" w:themeColor="accent1" w:themeShade="BF"/>
          <w:sz w:val="22"/>
          <w:szCs w:val="22"/>
        </w:rPr>
      </w:pPr>
      <w:r>
        <w:rPr>
          <w:b/>
          <w:bCs/>
          <w:color w:val="365F91" w:themeColor="accent1" w:themeShade="BF"/>
          <w:sz w:val="22"/>
          <w:szCs w:val="22"/>
        </w:rPr>
        <w:t xml:space="preserve">Proposal 3: </w:t>
      </w:r>
      <w:r w:rsidRPr="008840DD">
        <w:rPr>
          <w:color w:val="365F91" w:themeColor="accent1" w:themeShade="BF"/>
          <w:sz w:val="22"/>
          <w:szCs w:val="22"/>
        </w:rPr>
        <w:t>RAN4 to further investigate</w:t>
      </w:r>
      <w:r>
        <w:rPr>
          <w:color w:val="365F91" w:themeColor="accent1" w:themeShade="BF"/>
          <w:sz w:val="22"/>
          <w:szCs w:val="22"/>
        </w:rPr>
        <w:t xml:space="preserve"> whether there are conditions under which timing refinement </w:t>
      </w:r>
      <w:r w:rsidRPr="008840DD">
        <w:rPr>
          <w:color w:val="365F91" w:themeColor="accent1" w:themeShade="BF"/>
          <w:sz w:val="22"/>
          <w:szCs w:val="22"/>
        </w:rPr>
        <w:t>T</w:t>
      </w:r>
      <w:r w:rsidRPr="008840DD">
        <w:rPr>
          <w:color w:val="365F91" w:themeColor="accent1" w:themeShade="BF"/>
          <w:sz w:val="22"/>
          <w:szCs w:val="22"/>
          <w:vertAlign w:val="subscript"/>
        </w:rPr>
        <w:t>∆</w:t>
      </w:r>
      <w:r>
        <w:rPr>
          <w:color w:val="365F91" w:themeColor="accent1" w:themeShade="BF"/>
          <w:sz w:val="22"/>
          <w:szCs w:val="22"/>
        </w:rPr>
        <w:t xml:space="preserve"> can be skipped, i.e., </w:t>
      </w:r>
      <w:r w:rsidRPr="008840DD">
        <w:rPr>
          <w:color w:val="365F91" w:themeColor="accent1" w:themeShade="BF"/>
          <w:sz w:val="22"/>
          <w:szCs w:val="22"/>
        </w:rPr>
        <w:t>T</w:t>
      </w:r>
      <w:r w:rsidRPr="008840DD">
        <w:rPr>
          <w:color w:val="365F91" w:themeColor="accent1" w:themeShade="BF"/>
          <w:sz w:val="22"/>
          <w:szCs w:val="22"/>
          <w:vertAlign w:val="subscript"/>
        </w:rPr>
        <w:t>∆</w:t>
      </w:r>
      <w:r>
        <w:rPr>
          <w:color w:val="365F91" w:themeColor="accent1" w:themeShade="BF"/>
          <w:sz w:val="22"/>
          <w:szCs w:val="22"/>
          <w:vertAlign w:val="subscript"/>
        </w:rPr>
        <w:t xml:space="preserve"> </w:t>
      </w:r>
      <w:r>
        <w:rPr>
          <w:color w:val="365F91" w:themeColor="accent1" w:themeShade="BF"/>
          <w:sz w:val="22"/>
          <w:szCs w:val="22"/>
        </w:rPr>
        <w:t>= 0 be applied.</w:t>
      </w:r>
    </w:p>
    <w:p w14:paraId="1C1393D6" w14:textId="6CC3338B" w:rsidR="00546510" w:rsidRDefault="00546510" w:rsidP="008A3979">
      <w:pPr>
        <w:spacing w:before="240" w:after="0"/>
        <w:rPr>
          <w:sz w:val="22"/>
          <w:szCs w:val="22"/>
          <w:lang w:val="en-US"/>
        </w:rPr>
      </w:pPr>
      <w:r w:rsidRPr="00546510">
        <w:rPr>
          <w:sz w:val="22"/>
          <w:szCs w:val="22"/>
        </w:rPr>
        <w:t xml:space="preserve">Regarding </w:t>
      </w:r>
      <w:r w:rsidRPr="00546510">
        <w:rPr>
          <w:sz w:val="22"/>
          <w:szCs w:val="22"/>
          <w:lang w:val="en-US"/>
        </w:rPr>
        <w:t>RLM/BFD/BFR/beam management on deactivated PSCell, our understanding is that this has not yet been settled in RAN2.</w:t>
      </w:r>
      <w:r w:rsidR="00977105">
        <w:rPr>
          <w:sz w:val="22"/>
          <w:szCs w:val="22"/>
          <w:lang w:val="en-US"/>
        </w:rPr>
        <w:t xml:space="preserve"> However, SS-RSRP and SS-SINR measurements with time index detection would allow detecting when conditions for a configured beam changes, so RLM/BFD/BFR/BM would not be in conflict with the measurements proposed above.</w:t>
      </w:r>
    </w:p>
    <w:p w14:paraId="179D5422" w14:textId="6E07DAAF" w:rsidR="00977105" w:rsidRDefault="00977105" w:rsidP="008A3979">
      <w:pPr>
        <w:spacing w:before="240" w:after="0"/>
        <w:rPr>
          <w:sz w:val="22"/>
          <w:szCs w:val="22"/>
          <w:lang w:val="en-US"/>
        </w:rPr>
      </w:pPr>
      <w:r>
        <w:rPr>
          <w:sz w:val="22"/>
          <w:szCs w:val="22"/>
          <w:lang w:val="en-US"/>
        </w:rPr>
        <w:t xml:space="preserve">Regarding measurement requirements for MCG, our view is that those shall not differ between MCG with activate SCG and MCG with deactivated SCG, other than that CSSF for SCells in MCG may differ depending on </w:t>
      </w:r>
      <w:r w:rsidR="00541C7A">
        <w:rPr>
          <w:sz w:val="22"/>
          <w:szCs w:val="22"/>
          <w:lang w:val="en-US"/>
        </w:rPr>
        <w:t>number of SCells in deactivated state in SCG to account for.</w:t>
      </w:r>
    </w:p>
    <w:p w14:paraId="17953EEC" w14:textId="637DD957" w:rsidR="003E46C9" w:rsidRPr="00541C7A" w:rsidRDefault="00541C7A" w:rsidP="00541C7A">
      <w:pPr>
        <w:spacing w:before="240" w:after="0"/>
        <w:ind w:left="1134" w:hanging="1134"/>
        <w:rPr>
          <w:color w:val="365F91" w:themeColor="accent1" w:themeShade="BF"/>
          <w:sz w:val="22"/>
          <w:szCs w:val="22"/>
        </w:rPr>
      </w:pPr>
      <w:r>
        <w:rPr>
          <w:b/>
          <w:bCs/>
          <w:color w:val="365F91" w:themeColor="accent1" w:themeShade="BF"/>
          <w:sz w:val="22"/>
          <w:szCs w:val="22"/>
        </w:rPr>
        <w:t xml:space="preserve">Proposal 4: </w:t>
      </w:r>
      <w:r>
        <w:rPr>
          <w:color w:val="365F91" w:themeColor="accent1" w:themeShade="BF"/>
          <w:sz w:val="22"/>
          <w:szCs w:val="22"/>
        </w:rPr>
        <w:t>Other than impact by CSSF, measurement requirements for MCG shall not depend on whether SCG is in active or deactivated state.</w:t>
      </w:r>
    </w:p>
    <w:p w14:paraId="5D682B63" w14:textId="77777777" w:rsidR="003E46C9" w:rsidRPr="00473CC2" w:rsidRDefault="003E46C9" w:rsidP="00473CC2">
      <w:pPr>
        <w:spacing w:after="0"/>
        <w:rPr>
          <w:rFonts w:eastAsia="Times New Roman"/>
          <w:sz w:val="22"/>
          <w:szCs w:val="22"/>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5E982E6D"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541C7A">
        <w:rPr>
          <w:sz w:val="22"/>
          <w:lang w:val="en-CA"/>
        </w:rPr>
        <w:t>efficient activation and deactivation of SCG</w:t>
      </w:r>
      <w:r w:rsidR="009D446B">
        <w:rPr>
          <w:sz w:val="22"/>
          <w:lang w:val="en-CA"/>
        </w:rPr>
        <w:t>. The following proposals are made:</w:t>
      </w:r>
    </w:p>
    <w:p w14:paraId="17BC4354" w14:textId="77777777" w:rsidR="00541C7A" w:rsidRDefault="00541C7A" w:rsidP="00541C7A">
      <w:pPr>
        <w:spacing w:before="240" w:after="0"/>
        <w:ind w:left="1134" w:hanging="1134"/>
        <w:rPr>
          <w:color w:val="365F91" w:themeColor="accent1" w:themeShade="BF"/>
          <w:sz w:val="22"/>
          <w:szCs w:val="22"/>
        </w:rPr>
      </w:pPr>
      <w:r w:rsidRPr="0047492A">
        <w:rPr>
          <w:b/>
          <w:bCs/>
          <w:color w:val="365F91" w:themeColor="accent1" w:themeShade="BF"/>
          <w:sz w:val="22"/>
          <w:szCs w:val="22"/>
        </w:rPr>
        <w:t>Proposal 1:</w:t>
      </w:r>
      <w:r w:rsidRPr="0047492A">
        <w:rPr>
          <w:b/>
          <w:bCs/>
          <w:color w:val="365F91" w:themeColor="accent1" w:themeShade="BF"/>
          <w:sz w:val="22"/>
          <w:szCs w:val="22"/>
        </w:rPr>
        <w:tab/>
      </w:r>
      <w:r>
        <w:rPr>
          <w:color w:val="365F91" w:themeColor="accent1" w:themeShade="BF"/>
          <w:sz w:val="22"/>
          <w:szCs w:val="22"/>
        </w:rPr>
        <w:t>RRM requirements for deactivated SCG are based on SS-RSRP and SS-SINR measurements with time index detection, with measurement rate depending on the following:</w:t>
      </w:r>
    </w:p>
    <w:p w14:paraId="2C6FA065" w14:textId="77777777" w:rsidR="00541C7A" w:rsidRPr="00A1744E" w:rsidRDefault="00541C7A" w:rsidP="00541C7A">
      <w:pPr>
        <w:pStyle w:val="ListParagraph"/>
        <w:numPr>
          <w:ilvl w:val="0"/>
          <w:numId w:val="17"/>
        </w:numPr>
        <w:spacing w:after="0"/>
        <w:ind w:left="1418" w:hanging="284"/>
        <w:rPr>
          <w:color w:val="365F91" w:themeColor="accent1" w:themeShade="BF"/>
          <w:sz w:val="22"/>
          <w:szCs w:val="22"/>
        </w:rPr>
      </w:pPr>
      <w:r w:rsidRPr="00A1744E">
        <w:rPr>
          <w:color w:val="365F91" w:themeColor="accent1" w:themeShade="BF"/>
          <w:sz w:val="22"/>
          <w:szCs w:val="22"/>
        </w:rPr>
        <w:t>CSSF as for active PSCell, i.e. 1 or 2 depending on mode of operation,</w:t>
      </w:r>
    </w:p>
    <w:p w14:paraId="53A3470C" w14:textId="75BF048D" w:rsidR="00E737FE" w:rsidRPr="00541C7A" w:rsidRDefault="00541C7A" w:rsidP="00541C7A">
      <w:pPr>
        <w:pStyle w:val="ListParagraph"/>
        <w:numPr>
          <w:ilvl w:val="0"/>
          <w:numId w:val="17"/>
        </w:numPr>
        <w:spacing w:after="0"/>
        <w:ind w:left="1418" w:hanging="284"/>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SCell, i.e., </w:t>
      </w:r>
      <w:r>
        <w:rPr>
          <w:color w:val="365F91" w:themeColor="accent1" w:themeShade="BF"/>
          <w:sz w:val="22"/>
          <w:szCs w:val="22"/>
        </w:rPr>
        <w:t xml:space="preserve">measCycleSCell </w:t>
      </w:r>
      <w:r w:rsidRPr="00A1744E">
        <w:rPr>
          <w:color w:val="365F91" w:themeColor="accent1" w:themeShade="BF"/>
          <w:sz w:val="22"/>
          <w:szCs w:val="22"/>
        </w:rPr>
        <w:t>within 160 to 1280ms</w:t>
      </w:r>
    </w:p>
    <w:p w14:paraId="277AF7F9" w14:textId="7B72A4F7" w:rsidR="006540C8" w:rsidRPr="00541C7A" w:rsidRDefault="00541C7A" w:rsidP="00541C7A">
      <w:pPr>
        <w:spacing w:before="240" w:after="0"/>
        <w:ind w:left="1134" w:hanging="1134"/>
        <w:rPr>
          <w:color w:val="365F91" w:themeColor="accent1" w:themeShade="BF"/>
          <w:sz w:val="22"/>
          <w:szCs w:val="22"/>
        </w:rPr>
      </w:pPr>
      <w:r w:rsidRPr="008840DD">
        <w:rPr>
          <w:b/>
          <w:bCs/>
          <w:color w:val="365F91" w:themeColor="accent1" w:themeShade="BF"/>
          <w:sz w:val="22"/>
          <w:szCs w:val="22"/>
        </w:rPr>
        <w:t xml:space="preserve">Proposal 2: </w:t>
      </w:r>
      <w:r w:rsidRPr="008840DD">
        <w:rPr>
          <w:b/>
          <w:bCs/>
          <w:color w:val="365F91" w:themeColor="accent1" w:themeShade="BF"/>
          <w:sz w:val="22"/>
          <w:szCs w:val="22"/>
        </w:rPr>
        <w:tab/>
      </w:r>
      <w:r>
        <w:rPr>
          <w:color w:val="365F91" w:themeColor="accent1" w:themeShade="BF"/>
          <w:sz w:val="22"/>
          <w:szCs w:val="22"/>
        </w:rPr>
        <w:t>As a starting point, the following activation timeline can be assumed:</w:t>
      </w:r>
      <w:r w:rsidRPr="008840DD">
        <w:t xml:space="preserve"> </w:t>
      </w:r>
      <w:r w:rsidRPr="008840DD">
        <w:rPr>
          <w:color w:val="365F91" w:themeColor="accent1" w:themeShade="BF"/>
          <w:sz w:val="22"/>
          <w:szCs w:val="22"/>
        </w:rPr>
        <w:t>T</w:t>
      </w:r>
      <w:r w:rsidRPr="008840DD">
        <w:rPr>
          <w:color w:val="365F91" w:themeColor="accent1" w:themeShade="BF"/>
          <w:sz w:val="22"/>
          <w:szCs w:val="22"/>
          <w:vertAlign w:val="subscript"/>
        </w:rPr>
        <w:t xml:space="preserve">activate_SCG </w:t>
      </w:r>
      <w:r w:rsidRPr="008840DD">
        <w:rPr>
          <w:color w:val="365F91" w:themeColor="accent1" w:themeShade="BF"/>
          <w:sz w:val="22"/>
          <w:szCs w:val="22"/>
        </w:rPr>
        <w:t>= T</w:t>
      </w:r>
      <w:r w:rsidRPr="008840DD">
        <w:rPr>
          <w:color w:val="365F91" w:themeColor="accent1" w:themeShade="BF"/>
          <w:sz w:val="22"/>
          <w:szCs w:val="22"/>
          <w:vertAlign w:val="subscript"/>
        </w:rPr>
        <w:t xml:space="preserve">RRC_delay </w:t>
      </w:r>
      <w:r w:rsidRPr="008840DD">
        <w:rPr>
          <w:color w:val="365F91" w:themeColor="accent1" w:themeShade="BF"/>
          <w:sz w:val="22"/>
          <w:szCs w:val="22"/>
        </w:rPr>
        <w:t>+ T</w:t>
      </w:r>
      <w:r w:rsidRPr="008840DD">
        <w:rPr>
          <w:color w:val="365F91" w:themeColor="accent1" w:themeShade="BF"/>
          <w:sz w:val="22"/>
          <w:szCs w:val="22"/>
          <w:vertAlign w:val="subscript"/>
        </w:rPr>
        <w:t>∆</w:t>
      </w:r>
      <w:r w:rsidRPr="008840DD">
        <w:rPr>
          <w:color w:val="365F91" w:themeColor="accent1" w:themeShade="BF"/>
          <w:sz w:val="22"/>
          <w:szCs w:val="22"/>
        </w:rPr>
        <w:t xml:space="preserve"> + T</w:t>
      </w:r>
      <w:r w:rsidRPr="008840DD">
        <w:rPr>
          <w:color w:val="365F91" w:themeColor="accent1" w:themeShade="BF"/>
          <w:sz w:val="22"/>
          <w:szCs w:val="22"/>
          <w:vertAlign w:val="subscript"/>
        </w:rPr>
        <w:t>PSCell_ DU</w:t>
      </w:r>
      <w:r w:rsidRPr="008840DD">
        <w:rPr>
          <w:color w:val="365F91" w:themeColor="accent1" w:themeShade="BF"/>
          <w:sz w:val="22"/>
          <w:szCs w:val="22"/>
        </w:rPr>
        <w:t xml:space="preserve"> + 2 ms</w:t>
      </w:r>
      <w:r>
        <w:rPr>
          <w:color w:val="365F91" w:themeColor="accent1" w:themeShade="BF"/>
          <w:sz w:val="22"/>
          <w:szCs w:val="22"/>
        </w:rPr>
        <w:t>.</w:t>
      </w:r>
    </w:p>
    <w:p w14:paraId="226070E7" w14:textId="77777777" w:rsidR="00541C7A" w:rsidRPr="008840DD" w:rsidRDefault="00541C7A" w:rsidP="00541C7A">
      <w:pPr>
        <w:spacing w:before="240" w:after="0"/>
        <w:ind w:left="1134" w:hanging="1134"/>
        <w:rPr>
          <w:b/>
          <w:bCs/>
          <w:color w:val="365F91" w:themeColor="accent1" w:themeShade="BF"/>
          <w:sz w:val="22"/>
          <w:szCs w:val="22"/>
        </w:rPr>
      </w:pPr>
      <w:r>
        <w:rPr>
          <w:b/>
          <w:bCs/>
          <w:color w:val="365F91" w:themeColor="accent1" w:themeShade="BF"/>
          <w:sz w:val="22"/>
          <w:szCs w:val="22"/>
        </w:rPr>
        <w:t xml:space="preserve">Proposal 3: </w:t>
      </w:r>
      <w:r w:rsidRPr="008840DD">
        <w:rPr>
          <w:color w:val="365F91" w:themeColor="accent1" w:themeShade="BF"/>
          <w:sz w:val="22"/>
          <w:szCs w:val="22"/>
        </w:rPr>
        <w:t>RAN4 to further investigate</w:t>
      </w:r>
      <w:r>
        <w:rPr>
          <w:color w:val="365F91" w:themeColor="accent1" w:themeShade="BF"/>
          <w:sz w:val="22"/>
          <w:szCs w:val="22"/>
        </w:rPr>
        <w:t xml:space="preserve"> whether there are conditions under which timing refinement </w:t>
      </w:r>
      <w:r w:rsidRPr="008840DD">
        <w:rPr>
          <w:color w:val="365F91" w:themeColor="accent1" w:themeShade="BF"/>
          <w:sz w:val="22"/>
          <w:szCs w:val="22"/>
        </w:rPr>
        <w:t>T</w:t>
      </w:r>
      <w:r w:rsidRPr="008840DD">
        <w:rPr>
          <w:color w:val="365F91" w:themeColor="accent1" w:themeShade="BF"/>
          <w:sz w:val="22"/>
          <w:szCs w:val="22"/>
          <w:vertAlign w:val="subscript"/>
        </w:rPr>
        <w:t>∆</w:t>
      </w:r>
      <w:r>
        <w:rPr>
          <w:color w:val="365F91" w:themeColor="accent1" w:themeShade="BF"/>
          <w:sz w:val="22"/>
          <w:szCs w:val="22"/>
        </w:rPr>
        <w:t xml:space="preserve"> can be skipped, i.e., </w:t>
      </w:r>
      <w:r w:rsidRPr="008840DD">
        <w:rPr>
          <w:color w:val="365F91" w:themeColor="accent1" w:themeShade="BF"/>
          <w:sz w:val="22"/>
          <w:szCs w:val="22"/>
        </w:rPr>
        <w:t>T</w:t>
      </w:r>
      <w:r w:rsidRPr="008840DD">
        <w:rPr>
          <w:color w:val="365F91" w:themeColor="accent1" w:themeShade="BF"/>
          <w:sz w:val="22"/>
          <w:szCs w:val="22"/>
          <w:vertAlign w:val="subscript"/>
        </w:rPr>
        <w:t>∆</w:t>
      </w:r>
      <w:r>
        <w:rPr>
          <w:color w:val="365F91" w:themeColor="accent1" w:themeShade="BF"/>
          <w:sz w:val="22"/>
          <w:szCs w:val="22"/>
          <w:vertAlign w:val="subscript"/>
        </w:rPr>
        <w:t xml:space="preserve"> </w:t>
      </w:r>
      <w:r>
        <w:rPr>
          <w:color w:val="365F91" w:themeColor="accent1" w:themeShade="BF"/>
          <w:sz w:val="22"/>
          <w:szCs w:val="22"/>
        </w:rPr>
        <w:t>= 0 be applied.</w:t>
      </w:r>
    </w:p>
    <w:p w14:paraId="46495CDB" w14:textId="77777777" w:rsidR="00541C7A" w:rsidRPr="00541C7A" w:rsidRDefault="00541C7A" w:rsidP="00541C7A">
      <w:pPr>
        <w:spacing w:before="240" w:after="0"/>
        <w:ind w:left="1134" w:hanging="1134"/>
        <w:rPr>
          <w:color w:val="365F91" w:themeColor="accent1" w:themeShade="BF"/>
          <w:sz w:val="22"/>
          <w:szCs w:val="22"/>
        </w:rPr>
      </w:pPr>
      <w:r>
        <w:rPr>
          <w:b/>
          <w:bCs/>
          <w:color w:val="365F91" w:themeColor="accent1" w:themeShade="BF"/>
          <w:sz w:val="22"/>
          <w:szCs w:val="22"/>
        </w:rPr>
        <w:t xml:space="preserve">Proposal 4: </w:t>
      </w:r>
      <w:r>
        <w:rPr>
          <w:color w:val="365F91" w:themeColor="accent1" w:themeShade="BF"/>
          <w:sz w:val="22"/>
          <w:szCs w:val="22"/>
        </w:rPr>
        <w:t>Other than impact by CSSF, measurement requirements for MCG shall not depend on whether SCG is in active or deactivated state.</w:t>
      </w:r>
    </w:p>
    <w:p w14:paraId="2B32E1A4" w14:textId="77777777" w:rsidR="00A255C4" w:rsidRPr="00A31283" w:rsidRDefault="00A255C4" w:rsidP="006540C8">
      <w:pPr>
        <w:spacing w:after="0"/>
        <w:rPr>
          <w:rFonts w:eastAsia="Times New Roman"/>
          <w:color w:val="1F497D" w:themeColor="text2"/>
          <w:sz w:val="22"/>
          <w:szCs w:val="22"/>
          <w:lang w:eastAsia="ko-KR"/>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60B504" w14:textId="6F88E8BA" w:rsidR="00386E2A" w:rsidRPr="00386E2A" w:rsidRDefault="00386E2A" w:rsidP="00386E2A">
      <w:pPr>
        <w:numPr>
          <w:ilvl w:val="0"/>
          <w:numId w:val="9"/>
        </w:numPr>
        <w:tabs>
          <w:tab w:val="left" w:pos="851"/>
        </w:tabs>
        <w:rPr>
          <w:rFonts w:ascii="Arial" w:hAnsi="Arial" w:cs="Arial"/>
          <w:sz w:val="22"/>
          <w:szCs w:val="22"/>
          <w:lang w:val="en-CA"/>
        </w:rPr>
      </w:pPr>
      <w:bookmarkStart w:id="6" w:name="_Ref78795536"/>
      <w:bookmarkStart w:id="7"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p w14:paraId="6A74695C" w14:textId="75705B05" w:rsidR="00E737FE" w:rsidRDefault="00230DDD" w:rsidP="000D717D">
      <w:pPr>
        <w:numPr>
          <w:ilvl w:val="0"/>
          <w:numId w:val="9"/>
        </w:numPr>
        <w:tabs>
          <w:tab w:val="left" w:pos="851"/>
        </w:tabs>
        <w:rPr>
          <w:rFonts w:ascii="Arial" w:hAnsi="Arial" w:cs="Arial"/>
          <w:sz w:val="22"/>
          <w:szCs w:val="22"/>
          <w:lang w:val="en-CA"/>
        </w:rPr>
      </w:pPr>
      <w:bookmarkStart w:id="8" w:name="_Ref78795590"/>
      <w:r w:rsidRPr="00D11610">
        <w:rPr>
          <w:rFonts w:ascii="Arial" w:hAnsi="Arial" w:cs="Arial"/>
          <w:sz w:val="22"/>
          <w:szCs w:val="22"/>
          <w:lang w:val="en-CA"/>
        </w:rPr>
        <w:t>R</w:t>
      </w:r>
      <w:r w:rsidR="00E737FE">
        <w:rPr>
          <w:rFonts w:ascii="Arial" w:hAnsi="Arial" w:cs="Arial"/>
          <w:sz w:val="22"/>
          <w:szCs w:val="22"/>
          <w:lang w:val="en-CA"/>
        </w:rPr>
        <w:t>4</w:t>
      </w:r>
      <w:r w:rsidRPr="00D11610">
        <w:rPr>
          <w:rFonts w:ascii="Arial" w:hAnsi="Arial" w:cs="Arial"/>
          <w:sz w:val="22"/>
          <w:szCs w:val="22"/>
          <w:lang w:val="en-CA"/>
        </w:rPr>
        <w:t>-2</w:t>
      </w:r>
      <w:r w:rsidR="00E737FE">
        <w:rPr>
          <w:rFonts w:ascii="Arial" w:hAnsi="Arial" w:cs="Arial"/>
          <w:sz w:val="22"/>
          <w:szCs w:val="22"/>
          <w:lang w:val="en-CA"/>
        </w:rPr>
        <w:t>108363 “</w:t>
      </w:r>
      <w:r w:rsidR="00E737FE" w:rsidRPr="00E737FE">
        <w:rPr>
          <w:rFonts w:ascii="Arial" w:hAnsi="Arial" w:cs="Arial"/>
          <w:sz w:val="22"/>
          <w:szCs w:val="22"/>
          <w:lang w:val="en-CA"/>
        </w:rPr>
        <w:t>WF on R17 further Multi-RAT Dual-Connectivity enhancements</w:t>
      </w:r>
      <w:r w:rsidR="00E737FE">
        <w:rPr>
          <w:rFonts w:ascii="Arial" w:hAnsi="Arial" w:cs="Arial"/>
          <w:sz w:val="22"/>
          <w:szCs w:val="22"/>
          <w:lang w:val="en-CA"/>
        </w:rPr>
        <w:t>”, Huawei, HiSilicon</w:t>
      </w:r>
      <w:bookmarkEnd w:id="7"/>
      <w:bookmarkEnd w:id="8"/>
    </w:p>
    <w:sectPr w:rsidR="00E737FE"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AED31" w14:textId="77777777" w:rsidR="0086044D" w:rsidRDefault="0086044D">
      <w:r>
        <w:separator/>
      </w:r>
    </w:p>
  </w:endnote>
  <w:endnote w:type="continuationSeparator" w:id="0">
    <w:p w14:paraId="49891ED8" w14:textId="77777777" w:rsidR="0086044D" w:rsidRDefault="0086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2D2C3" w14:textId="77777777" w:rsidR="0086044D" w:rsidRDefault="0086044D">
      <w:r>
        <w:separator/>
      </w:r>
    </w:p>
  </w:footnote>
  <w:footnote w:type="continuationSeparator" w:id="0">
    <w:p w14:paraId="5CC5C3E4" w14:textId="77777777" w:rsidR="0086044D" w:rsidRDefault="0086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B1716A"/>
    <w:multiLevelType w:val="hybridMultilevel"/>
    <w:tmpl w:val="654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05227"/>
    <w:multiLevelType w:val="hybridMultilevel"/>
    <w:tmpl w:val="6E58B58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A85674F"/>
    <w:multiLevelType w:val="hybridMultilevel"/>
    <w:tmpl w:val="1F1493B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F370A5F"/>
    <w:multiLevelType w:val="hybridMultilevel"/>
    <w:tmpl w:val="6AE8D748"/>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7073D0B"/>
    <w:multiLevelType w:val="hybridMultilevel"/>
    <w:tmpl w:val="A41A2C34"/>
    <w:lvl w:ilvl="0" w:tplc="041D0001">
      <w:start w:val="1"/>
      <w:numFmt w:val="bullet"/>
      <w:lvlText w:val=""/>
      <w:lvlJc w:val="left"/>
      <w:pPr>
        <w:ind w:left="988" w:hanging="420"/>
      </w:pPr>
      <w:rPr>
        <w:rFonts w:ascii="Symbol" w:hAnsi="Symbol"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3412"/>
        </w:tabs>
        <w:ind w:left="3412"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16"/>
  </w:num>
  <w:num w:numId="4">
    <w:abstractNumId w:val="6"/>
  </w:num>
  <w:num w:numId="5">
    <w:abstractNumId w:val="7"/>
  </w:num>
  <w:num w:numId="6">
    <w:abstractNumId w:val="2"/>
  </w:num>
  <w:num w:numId="7">
    <w:abstractNumId w:val="1"/>
  </w:num>
  <w:num w:numId="8">
    <w:abstractNumId w:val="18"/>
  </w:num>
  <w:num w:numId="9">
    <w:abstractNumId w:val="10"/>
  </w:num>
  <w:num w:numId="10">
    <w:abstractNumId w:val="14"/>
  </w:num>
  <w:num w:numId="11">
    <w:abstractNumId w:val="4"/>
  </w:num>
  <w:num w:numId="12">
    <w:abstractNumId w:val="0"/>
  </w:num>
  <w:num w:numId="13">
    <w:abstractNumId w:val="8"/>
  </w:num>
  <w:num w:numId="14">
    <w:abstractNumId w:val="12"/>
  </w:num>
  <w:num w:numId="15">
    <w:abstractNumId w:val="13"/>
  </w:num>
  <w:num w:numId="16">
    <w:abstractNumId w:val="3"/>
  </w:num>
  <w:num w:numId="17">
    <w:abstractNumId w:val="9"/>
  </w:num>
  <w:num w:numId="18">
    <w:abstractNumId w:val="5"/>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3AE"/>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A1A"/>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9A"/>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4D3"/>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CA1"/>
    <w:rsid w:val="0020495F"/>
    <w:rsid w:val="00205A82"/>
    <w:rsid w:val="00206216"/>
    <w:rsid w:val="002062D4"/>
    <w:rsid w:val="00206445"/>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8A6"/>
    <w:rsid w:val="00246BDE"/>
    <w:rsid w:val="002475E9"/>
    <w:rsid w:val="0024778E"/>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1E"/>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31"/>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35D"/>
    <w:rsid w:val="002D2989"/>
    <w:rsid w:val="002D2B7D"/>
    <w:rsid w:val="002D3360"/>
    <w:rsid w:val="002D385F"/>
    <w:rsid w:val="002D3907"/>
    <w:rsid w:val="002D3FB9"/>
    <w:rsid w:val="002D42DA"/>
    <w:rsid w:val="002D470F"/>
    <w:rsid w:val="002D4823"/>
    <w:rsid w:val="002D50FC"/>
    <w:rsid w:val="002D529E"/>
    <w:rsid w:val="002D5485"/>
    <w:rsid w:val="002D5CA1"/>
    <w:rsid w:val="002D5CCC"/>
    <w:rsid w:val="002D6463"/>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2E58"/>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DC5"/>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E2A"/>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6F2E"/>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492A"/>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3A1"/>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7A"/>
    <w:rsid w:val="00541CC3"/>
    <w:rsid w:val="00542731"/>
    <w:rsid w:val="00542CB1"/>
    <w:rsid w:val="0054313E"/>
    <w:rsid w:val="005431CF"/>
    <w:rsid w:val="0054321B"/>
    <w:rsid w:val="00543366"/>
    <w:rsid w:val="00543A8B"/>
    <w:rsid w:val="00543D5A"/>
    <w:rsid w:val="005446D8"/>
    <w:rsid w:val="005449A5"/>
    <w:rsid w:val="005451E2"/>
    <w:rsid w:val="005453B6"/>
    <w:rsid w:val="00545F87"/>
    <w:rsid w:val="00546510"/>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898"/>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D1A"/>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5DF6"/>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44D"/>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0DD"/>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979"/>
    <w:rsid w:val="008A3FD2"/>
    <w:rsid w:val="008A40BC"/>
    <w:rsid w:val="008A453B"/>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18C"/>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3E9"/>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05"/>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44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6547"/>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043"/>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1FDB"/>
    <w:rsid w:val="00C7235C"/>
    <w:rsid w:val="00C72D92"/>
    <w:rsid w:val="00C7380B"/>
    <w:rsid w:val="00C738BA"/>
    <w:rsid w:val="00C73DB9"/>
    <w:rsid w:val="00C74269"/>
    <w:rsid w:val="00C743B6"/>
    <w:rsid w:val="00C74678"/>
    <w:rsid w:val="00C748C5"/>
    <w:rsid w:val="00C7509B"/>
    <w:rsid w:val="00C755A6"/>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EBA"/>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BAE"/>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179"/>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02B"/>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1E3D"/>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B85"/>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21A4"/>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3412"/>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Agreement">
    <w:name w:val="Agreement"/>
    <w:basedOn w:val="Normal"/>
    <w:next w:val="Doc-text2"/>
    <w:qFormat/>
    <w:rsid w:val="00D91E3D"/>
    <w:pPr>
      <w:numPr>
        <w:numId w:val="1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5985576">
      <w:bodyDiv w:val="1"/>
      <w:marLeft w:val="0"/>
      <w:marRight w:val="0"/>
      <w:marTop w:val="0"/>
      <w:marBottom w:val="0"/>
      <w:divBdr>
        <w:top w:val="none" w:sz="0" w:space="0" w:color="auto"/>
        <w:left w:val="none" w:sz="0" w:space="0" w:color="auto"/>
        <w:bottom w:val="none" w:sz="0" w:space="0" w:color="auto"/>
        <w:right w:val="none" w:sz="0" w:space="0" w:color="auto"/>
      </w:divBdr>
      <w:divsChild>
        <w:div w:id="1309044527">
          <w:marLeft w:val="2606"/>
          <w:marRight w:val="0"/>
          <w:marTop w:val="0"/>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1118597577">
          <w:marLeft w:val="446"/>
          <w:marRight w:val="0"/>
          <w:marTop w:val="0"/>
          <w:marBottom w:val="0"/>
          <w:divBdr>
            <w:top w:val="none" w:sz="0" w:space="0" w:color="auto"/>
            <w:left w:val="none" w:sz="0" w:space="0" w:color="auto"/>
            <w:bottom w:val="none" w:sz="0" w:space="0" w:color="auto"/>
            <w:right w:val="none" w:sz="0" w:space="0" w:color="auto"/>
          </w:divBdr>
        </w:div>
        <w:div w:id="69989114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66600599">
      <w:bodyDiv w:val="1"/>
      <w:marLeft w:val="0"/>
      <w:marRight w:val="0"/>
      <w:marTop w:val="0"/>
      <w:marBottom w:val="0"/>
      <w:divBdr>
        <w:top w:val="none" w:sz="0" w:space="0" w:color="auto"/>
        <w:left w:val="none" w:sz="0" w:space="0" w:color="auto"/>
        <w:bottom w:val="none" w:sz="0" w:space="0" w:color="auto"/>
        <w:right w:val="none" w:sz="0" w:space="0" w:color="auto"/>
      </w:divBdr>
      <w:divsChild>
        <w:div w:id="1271207160">
          <w:marLeft w:val="547"/>
          <w:marRight w:val="0"/>
          <w:marTop w:val="60"/>
          <w:marBottom w:val="0"/>
          <w:divBdr>
            <w:top w:val="none" w:sz="0" w:space="0" w:color="auto"/>
            <w:left w:val="none" w:sz="0" w:space="0" w:color="auto"/>
            <w:bottom w:val="none" w:sz="0" w:space="0" w:color="auto"/>
            <w:right w:val="none" w:sz="0" w:space="0" w:color="auto"/>
          </w:divBdr>
        </w:div>
        <w:div w:id="542865502">
          <w:marLeft w:val="1123"/>
          <w:marRight w:val="0"/>
          <w:marTop w:val="60"/>
          <w:marBottom w:val="0"/>
          <w:divBdr>
            <w:top w:val="none" w:sz="0" w:space="0" w:color="auto"/>
            <w:left w:val="none" w:sz="0" w:space="0" w:color="auto"/>
            <w:bottom w:val="none" w:sz="0" w:space="0" w:color="auto"/>
            <w:right w:val="none" w:sz="0" w:space="0" w:color="auto"/>
          </w:divBdr>
        </w:div>
        <w:div w:id="1413814872">
          <w:marLeft w:val="1123"/>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347363231">
          <w:marLeft w:val="44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63713581">
          <w:marLeft w:val="116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1816486243">
          <w:marLeft w:val="116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716970208">
          <w:marLeft w:val="260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6076430">
      <w:bodyDiv w:val="1"/>
      <w:marLeft w:val="0"/>
      <w:marRight w:val="0"/>
      <w:marTop w:val="0"/>
      <w:marBottom w:val="0"/>
      <w:divBdr>
        <w:top w:val="none" w:sz="0" w:space="0" w:color="auto"/>
        <w:left w:val="none" w:sz="0" w:space="0" w:color="auto"/>
        <w:bottom w:val="none" w:sz="0" w:space="0" w:color="auto"/>
        <w:right w:val="none" w:sz="0" w:space="0" w:color="auto"/>
      </w:divBdr>
      <w:divsChild>
        <w:div w:id="30112548">
          <w:marLeft w:val="446"/>
          <w:marRight w:val="0"/>
          <w:marTop w:val="0"/>
          <w:marBottom w:val="0"/>
          <w:divBdr>
            <w:top w:val="none" w:sz="0" w:space="0" w:color="auto"/>
            <w:left w:val="none" w:sz="0" w:space="0" w:color="auto"/>
            <w:bottom w:val="none" w:sz="0" w:space="0" w:color="auto"/>
            <w:right w:val="none" w:sz="0" w:space="0" w:color="auto"/>
          </w:divBdr>
        </w:div>
        <w:div w:id="685520764">
          <w:marLeft w:val="1166"/>
          <w:marRight w:val="0"/>
          <w:marTop w:val="0"/>
          <w:marBottom w:val="0"/>
          <w:divBdr>
            <w:top w:val="none" w:sz="0" w:space="0" w:color="auto"/>
            <w:left w:val="none" w:sz="0" w:space="0" w:color="auto"/>
            <w:bottom w:val="none" w:sz="0" w:space="0" w:color="auto"/>
            <w:right w:val="none" w:sz="0" w:space="0" w:color="auto"/>
          </w:divBdr>
        </w:div>
        <w:div w:id="1786196707">
          <w:marLeft w:val="1886"/>
          <w:marRight w:val="0"/>
          <w:marTop w:val="0"/>
          <w:marBottom w:val="0"/>
          <w:divBdr>
            <w:top w:val="none" w:sz="0" w:space="0" w:color="auto"/>
            <w:left w:val="none" w:sz="0" w:space="0" w:color="auto"/>
            <w:bottom w:val="none" w:sz="0" w:space="0" w:color="auto"/>
            <w:right w:val="none" w:sz="0" w:space="0" w:color="auto"/>
          </w:divBdr>
        </w:div>
        <w:div w:id="2122068365">
          <w:marLeft w:val="1886"/>
          <w:marRight w:val="0"/>
          <w:marTop w:val="0"/>
          <w:marBottom w:val="0"/>
          <w:divBdr>
            <w:top w:val="none" w:sz="0" w:space="0" w:color="auto"/>
            <w:left w:val="none" w:sz="0" w:space="0" w:color="auto"/>
            <w:bottom w:val="none" w:sz="0" w:space="0" w:color="auto"/>
            <w:right w:val="none" w:sz="0" w:space="0" w:color="auto"/>
          </w:divBdr>
        </w:div>
        <w:div w:id="1164053749">
          <w:marLeft w:val="1886"/>
          <w:marRight w:val="0"/>
          <w:marTop w:val="0"/>
          <w:marBottom w:val="0"/>
          <w:divBdr>
            <w:top w:val="none" w:sz="0" w:space="0" w:color="auto"/>
            <w:left w:val="none" w:sz="0" w:space="0" w:color="auto"/>
            <w:bottom w:val="none" w:sz="0" w:space="0" w:color="auto"/>
            <w:right w:val="none" w:sz="0" w:space="0" w:color="auto"/>
          </w:divBdr>
        </w:div>
        <w:div w:id="424691862">
          <w:marLeft w:val="1166"/>
          <w:marRight w:val="0"/>
          <w:marTop w:val="0"/>
          <w:marBottom w:val="0"/>
          <w:divBdr>
            <w:top w:val="none" w:sz="0" w:space="0" w:color="auto"/>
            <w:left w:val="none" w:sz="0" w:space="0" w:color="auto"/>
            <w:bottom w:val="none" w:sz="0" w:space="0" w:color="auto"/>
            <w:right w:val="none" w:sz="0" w:space="0" w:color="auto"/>
          </w:divBdr>
        </w:div>
        <w:div w:id="1870993044">
          <w:marLeft w:val="1166"/>
          <w:marRight w:val="0"/>
          <w:marTop w:val="0"/>
          <w:marBottom w:val="0"/>
          <w:divBdr>
            <w:top w:val="none" w:sz="0" w:space="0" w:color="auto"/>
            <w:left w:val="none" w:sz="0" w:space="0" w:color="auto"/>
            <w:bottom w:val="none" w:sz="0" w:space="0" w:color="auto"/>
            <w:right w:val="none" w:sz="0" w:space="0" w:color="auto"/>
          </w:divBdr>
        </w:div>
        <w:div w:id="101463657">
          <w:marLeft w:val="1166"/>
          <w:marRight w:val="0"/>
          <w:marTop w:val="0"/>
          <w:marBottom w:val="0"/>
          <w:divBdr>
            <w:top w:val="none" w:sz="0" w:space="0" w:color="auto"/>
            <w:left w:val="none" w:sz="0" w:space="0" w:color="auto"/>
            <w:bottom w:val="none" w:sz="0" w:space="0" w:color="auto"/>
            <w:right w:val="none" w:sz="0" w:space="0" w:color="auto"/>
          </w:divBdr>
        </w:div>
        <w:div w:id="2170535">
          <w:marLeft w:val="1166"/>
          <w:marRight w:val="0"/>
          <w:marTop w:val="0"/>
          <w:marBottom w:val="0"/>
          <w:divBdr>
            <w:top w:val="none" w:sz="0" w:space="0" w:color="auto"/>
            <w:left w:val="none" w:sz="0" w:space="0" w:color="auto"/>
            <w:bottom w:val="none" w:sz="0" w:space="0" w:color="auto"/>
            <w:right w:val="none" w:sz="0" w:space="0" w:color="auto"/>
          </w:divBdr>
        </w:div>
        <w:div w:id="1385375669">
          <w:marLeft w:val="1166"/>
          <w:marRight w:val="0"/>
          <w:marTop w:val="0"/>
          <w:marBottom w:val="0"/>
          <w:divBdr>
            <w:top w:val="none" w:sz="0" w:space="0" w:color="auto"/>
            <w:left w:val="none" w:sz="0" w:space="0" w:color="auto"/>
            <w:bottom w:val="none" w:sz="0" w:space="0" w:color="auto"/>
            <w:right w:val="none" w:sz="0" w:space="0" w:color="auto"/>
          </w:divBdr>
        </w:div>
        <w:div w:id="979653063">
          <w:marLeft w:val="1166"/>
          <w:marRight w:val="0"/>
          <w:marTop w:val="0"/>
          <w:marBottom w:val="0"/>
          <w:divBdr>
            <w:top w:val="none" w:sz="0" w:space="0" w:color="auto"/>
            <w:left w:val="none" w:sz="0" w:space="0" w:color="auto"/>
            <w:bottom w:val="none" w:sz="0" w:space="0" w:color="auto"/>
            <w:right w:val="none" w:sz="0" w:space="0" w:color="auto"/>
          </w:divBdr>
        </w:div>
        <w:div w:id="2103184278">
          <w:marLeft w:val="1166"/>
          <w:marRight w:val="0"/>
          <w:marTop w:val="0"/>
          <w:marBottom w:val="0"/>
          <w:divBdr>
            <w:top w:val="none" w:sz="0" w:space="0" w:color="auto"/>
            <w:left w:val="none" w:sz="0" w:space="0" w:color="auto"/>
            <w:bottom w:val="none" w:sz="0" w:space="0" w:color="auto"/>
            <w:right w:val="none" w:sz="0" w:space="0" w:color="auto"/>
          </w:divBdr>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624428420">
          <w:marLeft w:val="446"/>
          <w:marRight w:val="0"/>
          <w:marTop w:val="0"/>
          <w:marBottom w:val="0"/>
          <w:divBdr>
            <w:top w:val="none" w:sz="0" w:space="0" w:color="auto"/>
            <w:left w:val="none" w:sz="0" w:space="0" w:color="auto"/>
            <w:bottom w:val="none" w:sz="0" w:space="0" w:color="auto"/>
            <w:right w:val="none" w:sz="0" w:space="0" w:color="auto"/>
          </w:divBdr>
        </w:div>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7683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2021-07-27T10:32:00Z</dcterms:created>
  <dcterms:modified xsi:type="dcterms:W3CDTF">2021-08-06T15:28:00Z</dcterms:modified>
</cp:coreProperties>
</file>